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05" w:rsidRDefault="00F26805" w:rsidP="00F26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TAFDC &amp; EAEDC Presentation 10/15/15</w:t>
      </w:r>
    </w:p>
    <w:p w:rsidR="00F26805" w:rsidRPr="00F26805" w:rsidRDefault="00F26805" w:rsidP="00F26805">
      <w:pPr>
        <w:jc w:val="center"/>
        <w:rPr>
          <w:b/>
          <w:sz w:val="48"/>
          <w:szCs w:val="48"/>
        </w:rPr>
      </w:pPr>
      <w:r w:rsidRPr="00F26805">
        <w:rPr>
          <w:b/>
          <w:sz w:val="48"/>
          <w:szCs w:val="48"/>
        </w:rPr>
        <w:t>Question</w:t>
      </w:r>
      <w:r w:rsidR="009309F6">
        <w:rPr>
          <w:b/>
          <w:sz w:val="48"/>
          <w:szCs w:val="48"/>
        </w:rPr>
        <w:t>s</w:t>
      </w:r>
      <w:r w:rsidRPr="00F26805">
        <w:rPr>
          <w:b/>
          <w:sz w:val="48"/>
          <w:szCs w:val="48"/>
        </w:rPr>
        <w:t xml:space="preserve"> </w:t>
      </w:r>
      <w:r w:rsidR="009309F6">
        <w:rPr>
          <w:b/>
          <w:sz w:val="48"/>
          <w:szCs w:val="48"/>
        </w:rPr>
        <w:t>&amp;</w:t>
      </w:r>
      <w:r w:rsidRPr="00F26805">
        <w:rPr>
          <w:b/>
          <w:sz w:val="48"/>
          <w:szCs w:val="48"/>
        </w:rPr>
        <w:t xml:space="preserve"> Answer</w:t>
      </w:r>
      <w:r w:rsidR="009309F6">
        <w:rPr>
          <w:b/>
          <w:sz w:val="48"/>
          <w:szCs w:val="48"/>
        </w:rPr>
        <w:t>s</w:t>
      </w:r>
    </w:p>
    <w:p w:rsidR="00F26805" w:rsidRDefault="00D46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Questions:</w:t>
      </w:r>
    </w:p>
    <w:p w:rsidR="00D4602B" w:rsidRPr="00D4602B" w:rsidRDefault="00D4602B" w:rsidP="00D460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602B">
        <w:rPr>
          <w:sz w:val="24"/>
          <w:szCs w:val="24"/>
        </w:rPr>
        <w:t>SSI vs. EAEDC</w:t>
      </w:r>
    </w:p>
    <w:p w:rsidR="00D4602B" w:rsidRPr="00D4602B" w:rsidRDefault="00D4602B" w:rsidP="00D460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602B">
        <w:rPr>
          <w:sz w:val="24"/>
          <w:szCs w:val="24"/>
        </w:rPr>
        <w:t>Does DTA help with applications for all programs for which eligible?</w:t>
      </w:r>
    </w:p>
    <w:p w:rsidR="00D4602B" w:rsidRPr="00D4602B" w:rsidRDefault="00D4602B" w:rsidP="00D460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602B">
        <w:rPr>
          <w:sz w:val="24"/>
          <w:szCs w:val="24"/>
        </w:rPr>
        <w:t>Is EAEDC for caregivers the same as the PCA program?</w:t>
      </w:r>
    </w:p>
    <w:p w:rsidR="00D4602B" w:rsidRPr="00D4602B" w:rsidRDefault="00D4602B" w:rsidP="00D4602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602B">
        <w:rPr>
          <w:sz w:val="24"/>
          <w:szCs w:val="24"/>
        </w:rPr>
        <w:t>Verifying Relationship Status for TAFDC</w:t>
      </w:r>
    </w:p>
    <w:p w:rsidR="00D4602B" w:rsidRPr="00D4602B" w:rsidRDefault="00D4602B" w:rsidP="00D4602B">
      <w:pPr>
        <w:pStyle w:val="ListParagraph"/>
        <w:rPr>
          <w:b/>
          <w:sz w:val="28"/>
          <w:szCs w:val="28"/>
        </w:rPr>
      </w:pPr>
    </w:p>
    <w:p w:rsidR="009309F6" w:rsidRPr="001A35AF" w:rsidRDefault="009309F6" w:rsidP="009309F6">
      <w:pPr>
        <w:spacing w:after="240"/>
        <w:rPr>
          <w:b/>
          <w:sz w:val="36"/>
          <w:szCs w:val="36"/>
        </w:rPr>
      </w:pPr>
      <w:r w:rsidRPr="001A35AF">
        <w:rPr>
          <w:b/>
          <w:sz w:val="36"/>
          <w:szCs w:val="36"/>
        </w:rPr>
        <w:t>SSI vs. EAEDC</w:t>
      </w:r>
    </w:p>
    <w:tbl>
      <w:tblPr>
        <w:tblStyle w:val="TableGrid"/>
        <w:tblW w:w="0" w:type="auto"/>
        <w:tblLook w:val="04A0"/>
      </w:tblPr>
      <w:tblGrid>
        <w:gridCol w:w="1881"/>
        <w:gridCol w:w="1897"/>
        <w:gridCol w:w="2049"/>
        <w:gridCol w:w="1870"/>
        <w:gridCol w:w="1879"/>
      </w:tblGrid>
      <w:tr w:rsidR="009309F6" w:rsidTr="00F64B15">
        <w:tc>
          <w:tcPr>
            <w:tcW w:w="1881" w:type="dxa"/>
            <w:shd w:val="clear" w:color="auto" w:fill="B8CCE4" w:themeFill="accent1" w:themeFillTint="66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1897" w:type="dxa"/>
            <w:shd w:val="clear" w:color="auto" w:fill="B8CCE4" w:themeFill="accent1" w:themeFillTint="66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Disability Criteria</w:t>
            </w:r>
          </w:p>
        </w:tc>
        <w:tc>
          <w:tcPr>
            <w:tcW w:w="2049" w:type="dxa"/>
            <w:shd w:val="clear" w:color="auto" w:fill="B8CCE4" w:themeFill="accent1" w:themeFillTint="66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Financial Criteria</w:t>
            </w:r>
          </w:p>
        </w:tc>
        <w:tc>
          <w:tcPr>
            <w:tcW w:w="1870" w:type="dxa"/>
            <w:shd w:val="clear" w:color="auto" w:fill="B8CCE4" w:themeFill="accent1" w:themeFillTint="66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Immigration Status</w:t>
            </w:r>
          </w:p>
        </w:tc>
        <w:tc>
          <w:tcPr>
            <w:tcW w:w="1879" w:type="dxa"/>
            <w:shd w:val="clear" w:color="auto" w:fill="B8CCE4" w:themeFill="accent1" w:themeFillTint="66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Get both?</w:t>
            </w:r>
          </w:p>
        </w:tc>
      </w:tr>
      <w:tr w:rsidR="009309F6" w:rsidTr="00F64B15">
        <w:tc>
          <w:tcPr>
            <w:tcW w:w="1881" w:type="dxa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SSI</w:t>
            </w:r>
          </w:p>
        </w:tc>
        <w:tc>
          <w:tcPr>
            <w:tcW w:w="1897" w:type="dxa"/>
          </w:tcPr>
          <w:p w:rsidR="009309F6" w:rsidRPr="00FF6E75" w:rsidRDefault="009309F6" w:rsidP="00F64B15">
            <w:pPr>
              <w:rPr>
                <w:sz w:val="24"/>
                <w:szCs w:val="24"/>
              </w:rPr>
            </w:pPr>
            <w:r w:rsidRPr="00FF6E75">
              <w:rPr>
                <w:sz w:val="24"/>
                <w:szCs w:val="24"/>
              </w:rPr>
              <w:t xml:space="preserve">12 months or expected to </w:t>
            </w:r>
            <w:r>
              <w:rPr>
                <w:sz w:val="24"/>
                <w:szCs w:val="24"/>
              </w:rPr>
              <w:t xml:space="preserve">result </w:t>
            </w:r>
            <w:r w:rsidRPr="00FF6E75">
              <w:rPr>
                <w:sz w:val="24"/>
                <w:szCs w:val="24"/>
              </w:rPr>
              <w:t>in death; inability to engage in any "</w:t>
            </w:r>
            <w:r w:rsidRPr="00C636FE">
              <w:rPr>
                <w:sz w:val="24"/>
                <w:szCs w:val="24"/>
              </w:rPr>
              <w:t>Substantial Gainful Activity</w:t>
            </w:r>
            <w:r w:rsidRPr="00FF6E75">
              <w:rPr>
                <w:sz w:val="24"/>
                <w:szCs w:val="24"/>
              </w:rPr>
              <w:t>"</w:t>
            </w:r>
          </w:p>
        </w:tc>
        <w:tc>
          <w:tcPr>
            <w:tcW w:w="2049" w:type="dxa"/>
          </w:tcPr>
          <w:p w:rsidR="009309F6" w:rsidRPr="009C6E23" w:rsidRDefault="009309F6" w:rsidP="00F64B15">
            <w:pPr>
              <w:rPr>
                <w:rStyle w:val="style28"/>
                <w:rFonts w:cs="Arial"/>
                <w:sz w:val="24"/>
                <w:szCs w:val="24"/>
              </w:rPr>
            </w:pPr>
            <w:r w:rsidRPr="009C6E23">
              <w:rPr>
                <w:b/>
                <w:sz w:val="24"/>
                <w:szCs w:val="24"/>
              </w:rPr>
              <w:t>Asset limit</w:t>
            </w:r>
            <w:r w:rsidRPr="009C6E23">
              <w:rPr>
                <w:sz w:val="24"/>
                <w:szCs w:val="24"/>
              </w:rPr>
              <w:t xml:space="preserve">: </w:t>
            </w:r>
            <w:r w:rsidRPr="009C6E23">
              <w:rPr>
                <w:rStyle w:val="style28"/>
                <w:rFonts w:cs="Arial"/>
                <w:sz w:val="24"/>
                <w:szCs w:val="24"/>
              </w:rPr>
              <w:t>$2,000/individual, $3,000/couple.</w:t>
            </w:r>
          </w:p>
          <w:p w:rsidR="009309F6" w:rsidRPr="009C6E23" w:rsidRDefault="009309F6" w:rsidP="00F64B15">
            <w:pPr>
              <w:rPr>
                <w:sz w:val="24"/>
                <w:szCs w:val="24"/>
              </w:rPr>
            </w:pPr>
            <w:r w:rsidRPr="009C6E23">
              <w:rPr>
                <w:rStyle w:val="style28"/>
                <w:rFonts w:cs="Arial"/>
                <w:b/>
                <w:sz w:val="24"/>
                <w:szCs w:val="24"/>
              </w:rPr>
              <w:t>Income</w:t>
            </w:r>
            <w:r w:rsidRPr="009C6E23">
              <w:rPr>
                <w:rStyle w:val="style28"/>
                <w:rFonts w:cs="Arial"/>
                <w:sz w:val="24"/>
                <w:szCs w:val="24"/>
              </w:rPr>
              <w:t xml:space="preserve"> less than </w:t>
            </w:r>
            <w:hyperlink r:id="rId7" w:history="1">
              <w:r w:rsidRPr="009C6E23">
                <w:rPr>
                  <w:rStyle w:val="Hyperlink"/>
                  <w:rFonts w:cs="Arial"/>
                  <w:sz w:val="24"/>
                  <w:szCs w:val="24"/>
                </w:rPr>
                <w:t>grant level</w:t>
              </w:r>
            </w:hyperlink>
            <w:r w:rsidRPr="009C6E23">
              <w:rPr>
                <w:rStyle w:val="style28"/>
                <w:rFonts w:cs="Arial"/>
                <w:sz w:val="24"/>
                <w:szCs w:val="24"/>
              </w:rPr>
              <w:t xml:space="preserve"> (much more generous than EAEDC)</w:t>
            </w:r>
          </w:p>
        </w:tc>
        <w:tc>
          <w:tcPr>
            <w:tcW w:w="1870" w:type="dxa"/>
          </w:tcPr>
          <w:p w:rsidR="009309F6" w:rsidRDefault="009309F6" w:rsidP="00F64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Tight federal definition; must be “qualified”; 5-year bar with exceptions (complex; consult CRC)</w:t>
            </w:r>
          </w:p>
        </w:tc>
        <w:tc>
          <w:tcPr>
            <w:tcW w:w="1879" w:type="dxa"/>
          </w:tcPr>
          <w:p w:rsidR="009309F6" w:rsidRPr="00C636FE" w:rsidRDefault="009309F6" w:rsidP="00F64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approved for SSI would be over-income for EAEDC. </w:t>
            </w:r>
          </w:p>
        </w:tc>
      </w:tr>
      <w:tr w:rsidR="009309F6" w:rsidTr="00F64B15">
        <w:trPr>
          <w:trHeight w:val="1700"/>
        </w:trPr>
        <w:tc>
          <w:tcPr>
            <w:tcW w:w="1881" w:type="dxa"/>
          </w:tcPr>
          <w:p w:rsidR="009309F6" w:rsidRDefault="009309F6" w:rsidP="00F64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EAEDC</w:t>
            </w:r>
          </w:p>
        </w:tc>
        <w:tc>
          <w:tcPr>
            <w:tcW w:w="1897" w:type="dxa"/>
          </w:tcPr>
          <w:p w:rsidR="009309F6" w:rsidRDefault="009309F6" w:rsidP="00F64B15">
            <w:pPr>
              <w:rPr>
                <w:sz w:val="24"/>
                <w:szCs w:val="24"/>
              </w:rPr>
            </w:pPr>
            <w:r w:rsidRPr="00FF6E75">
              <w:rPr>
                <w:sz w:val="24"/>
                <w:szCs w:val="24"/>
              </w:rPr>
              <w:t>Lasts or expected to last 60 days, “substantially reduces” the capacity to work</w:t>
            </w:r>
          </w:p>
          <w:p w:rsidR="009309F6" w:rsidRPr="00C636FE" w:rsidRDefault="009309F6" w:rsidP="009C6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C6E23">
              <w:rPr>
                <w:sz w:val="24"/>
                <w:szCs w:val="24"/>
              </w:rPr>
              <w:t xml:space="preserve">more generous </w:t>
            </w:r>
            <w:r>
              <w:rPr>
                <w:sz w:val="24"/>
                <w:szCs w:val="24"/>
              </w:rPr>
              <w:t>definition)</w:t>
            </w:r>
          </w:p>
        </w:tc>
        <w:tc>
          <w:tcPr>
            <w:tcW w:w="2049" w:type="dxa"/>
          </w:tcPr>
          <w:p w:rsidR="009309F6" w:rsidRPr="009C6E23" w:rsidRDefault="009309F6" w:rsidP="00F64B15">
            <w:pPr>
              <w:rPr>
                <w:sz w:val="24"/>
                <w:szCs w:val="24"/>
              </w:rPr>
            </w:pPr>
            <w:r w:rsidRPr="009C6E23">
              <w:rPr>
                <w:b/>
                <w:bCs/>
                <w:sz w:val="24"/>
                <w:szCs w:val="24"/>
              </w:rPr>
              <w:t>Asset limit</w:t>
            </w:r>
            <w:r w:rsidRPr="009C6E23">
              <w:rPr>
                <w:bCs/>
                <w:sz w:val="24"/>
                <w:szCs w:val="24"/>
              </w:rPr>
              <w:t>:</w:t>
            </w:r>
            <w:r w:rsidRPr="009C6E23">
              <w:rPr>
                <w:sz w:val="24"/>
                <w:szCs w:val="24"/>
              </w:rPr>
              <w:t xml:space="preserve"> $250 individual, $500 for two or more </w:t>
            </w:r>
          </w:p>
          <w:p w:rsidR="009309F6" w:rsidRPr="009C6E23" w:rsidRDefault="009309F6" w:rsidP="00F64B15">
            <w:pPr>
              <w:rPr>
                <w:sz w:val="24"/>
                <w:szCs w:val="24"/>
              </w:rPr>
            </w:pPr>
            <w:r w:rsidRPr="009C6E23">
              <w:rPr>
                <w:b/>
                <w:bCs/>
                <w:sz w:val="24"/>
                <w:szCs w:val="24"/>
              </w:rPr>
              <w:t>Income</w:t>
            </w:r>
            <w:r w:rsidRPr="009C6E23">
              <w:rPr>
                <w:bCs/>
                <w:sz w:val="24"/>
                <w:szCs w:val="24"/>
              </w:rPr>
              <w:t xml:space="preserve"> less than </w:t>
            </w:r>
            <w:hyperlink r:id="rId8" w:history="1">
              <w:r w:rsidRPr="009C6E23">
                <w:rPr>
                  <w:rStyle w:val="Hyperlink"/>
                  <w:bCs/>
                  <w:sz w:val="24"/>
                  <w:szCs w:val="24"/>
                </w:rPr>
                <w:t>grant level</w:t>
              </w:r>
            </w:hyperlink>
            <w:r w:rsidRPr="009C6E23">
              <w:rPr>
                <w:b/>
                <w:bCs/>
                <w:sz w:val="24"/>
                <w:szCs w:val="24"/>
              </w:rPr>
              <w:t xml:space="preserve"> </w:t>
            </w:r>
          </w:p>
          <w:p w:rsidR="009309F6" w:rsidRPr="009C6E23" w:rsidRDefault="009309F6" w:rsidP="00F64B15">
            <w:pPr>
              <w:ind w:left="-720"/>
              <w:rPr>
                <w:sz w:val="24"/>
                <w:szCs w:val="24"/>
              </w:rPr>
            </w:pPr>
            <w:r w:rsidRPr="009C6E23">
              <w:rPr>
                <w:sz w:val="24"/>
                <w:szCs w:val="24"/>
              </w:rPr>
              <w:t>M</w:t>
            </w:r>
          </w:p>
        </w:tc>
        <w:tc>
          <w:tcPr>
            <w:tcW w:w="1870" w:type="dxa"/>
          </w:tcPr>
          <w:p w:rsidR="009309F6" w:rsidRDefault="009309F6" w:rsidP="00F64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5 year bar; </w:t>
            </w:r>
            <w:r w:rsidRPr="008B6372">
              <w:rPr>
                <w:sz w:val="24"/>
                <w:szCs w:val="24"/>
              </w:rPr>
              <w:t xml:space="preserve">Must have an immigration status granted by </w:t>
            </w:r>
            <w:r>
              <w:rPr>
                <w:sz w:val="24"/>
                <w:szCs w:val="24"/>
              </w:rPr>
              <w:t>USCIS</w:t>
            </w:r>
            <w:r w:rsidRPr="008B6372">
              <w:rPr>
                <w:sz w:val="24"/>
                <w:szCs w:val="24"/>
              </w:rPr>
              <w:t xml:space="preserve">, a formal application pending with USCIS, or proof that USCIS knows </w:t>
            </w:r>
            <w:r>
              <w:rPr>
                <w:sz w:val="24"/>
                <w:szCs w:val="24"/>
              </w:rPr>
              <w:t>present</w:t>
            </w:r>
            <w:r w:rsidRPr="008B6372">
              <w:rPr>
                <w:sz w:val="24"/>
                <w:szCs w:val="24"/>
              </w:rPr>
              <w:t xml:space="preserve"> and is not planning to deport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:rsidR="009309F6" w:rsidRPr="00C636FE" w:rsidRDefault="009309F6" w:rsidP="009C6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to get EAEDC while waiting for SSI; may require</w:t>
            </w:r>
            <w:r w:rsidR="009C6E23">
              <w:rPr>
                <w:sz w:val="24"/>
                <w:szCs w:val="24"/>
              </w:rPr>
              <w:t xml:space="preserve"> SSI application</w:t>
            </w:r>
            <w:r>
              <w:rPr>
                <w:sz w:val="24"/>
                <w:szCs w:val="24"/>
              </w:rPr>
              <w:t xml:space="preserve">; EAEDC benefits received will be deducted from first SSI back-payment </w:t>
            </w:r>
          </w:p>
        </w:tc>
      </w:tr>
    </w:tbl>
    <w:p w:rsidR="00D4602B" w:rsidRDefault="00D4602B" w:rsidP="00D4602B">
      <w:pPr>
        <w:autoSpaceDE w:val="0"/>
        <w:autoSpaceDN w:val="0"/>
        <w:adjustRightInd w:val="0"/>
        <w:spacing w:before="360" w:after="0"/>
        <w:rPr>
          <w:rFonts w:cs="Arial"/>
          <w:b/>
          <w:bCs/>
          <w:sz w:val="36"/>
          <w:szCs w:val="36"/>
        </w:rPr>
      </w:pPr>
    </w:p>
    <w:p w:rsidR="00D4602B" w:rsidRDefault="00D4602B" w:rsidP="00D4602B">
      <w:pPr>
        <w:autoSpaceDE w:val="0"/>
        <w:autoSpaceDN w:val="0"/>
        <w:adjustRightInd w:val="0"/>
        <w:spacing w:before="360" w:after="0"/>
        <w:rPr>
          <w:rFonts w:cs="Arial"/>
          <w:b/>
          <w:bCs/>
          <w:sz w:val="36"/>
          <w:szCs w:val="36"/>
        </w:rPr>
      </w:pPr>
    </w:p>
    <w:p w:rsidR="009309F6" w:rsidRPr="001A35AF" w:rsidRDefault="009309F6" w:rsidP="00D4602B">
      <w:pPr>
        <w:autoSpaceDE w:val="0"/>
        <w:autoSpaceDN w:val="0"/>
        <w:adjustRightInd w:val="0"/>
        <w:spacing w:before="360" w:after="0"/>
        <w:rPr>
          <w:rFonts w:cs="Arial"/>
          <w:b/>
          <w:bCs/>
          <w:sz w:val="36"/>
          <w:szCs w:val="36"/>
        </w:rPr>
      </w:pPr>
      <w:r w:rsidRPr="001A35AF">
        <w:rPr>
          <w:rFonts w:cs="Arial"/>
          <w:b/>
          <w:bCs/>
          <w:sz w:val="36"/>
          <w:szCs w:val="36"/>
        </w:rPr>
        <w:lastRenderedPageBreak/>
        <w:t xml:space="preserve">Does DTA </w:t>
      </w:r>
      <w:r w:rsidR="001A35AF" w:rsidRPr="001A35AF">
        <w:rPr>
          <w:rFonts w:cs="Arial"/>
          <w:b/>
          <w:bCs/>
          <w:sz w:val="36"/>
          <w:szCs w:val="36"/>
        </w:rPr>
        <w:t xml:space="preserve">help </w:t>
      </w:r>
      <w:r w:rsidR="001A35AF">
        <w:rPr>
          <w:rFonts w:cs="Arial"/>
          <w:b/>
          <w:bCs/>
          <w:sz w:val="36"/>
          <w:szCs w:val="36"/>
        </w:rPr>
        <w:t xml:space="preserve">with applications </w:t>
      </w:r>
      <w:r w:rsidR="001A35AF" w:rsidRPr="001A35AF">
        <w:rPr>
          <w:rFonts w:cs="Arial"/>
          <w:b/>
          <w:bCs/>
          <w:sz w:val="36"/>
          <w:szCs w:val="36"/>
        </w:rPr>
        <w:t>for all programs for which eligible?</w:t>
      </w:r>
    </w:p>
    <w:p w:rsidR="009309F6" w:rsidRDefault="009309F6" w:rsidP="009309F6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</w:p>
    <w:p w:rsidR="001A35AF" w:rsidRDefault="009309F6" w:rsidP="009309F6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 w:rsidRPr="00837213">
        <w:rPr>
          <w:rFonts w:cs="Arial"/>
          <w:bCs/>
          <w:sz w:val="24"/>
          <w:szCs w:val="24"/>
        </w:rPr>
        <w:t xml:space="preserve">DTA </w:t>
      </w:r>
      <w:r>
        <w:rPr>
          <w:rFonts w:cs="Arial"/>
          <w:bCs/>
          <w:sz w:val="24"/>
          <w:szCs w:val="24"/>
        </w:rPr>
        <w:t xml:space="preserve">only </w:t>
      </w:r>
      <w:r w:rsidRPr="00837213">
        <w:rPr>
          <w:rFonts w:cs="Arial"/>
          <w:bCs/>
          <w:sz w:val="24"/>
          <w:szCs w:val="24"/>
        </w:rPr>
        <w:t xml:space="preserve">administers </w:t>
      </w:r>
      <w:r>
        <w:rPr>
          <w:rFonts w:cs="Arial"/>
          <w:bCs/>
          <w:sz w:val="24"/>
          <w:szCs w:val="24"/>
        </w:rPr>
        <w:t xml:space="preserve">the TAFDC, EAEDC and SNAP programs. </w:t>
      </w:r>
      <w:r w:rsidRPr="00C7056C">
        <w:rPr>
          <w:rFonts w:cs="Arial"/>
          <w:b/>
          <w:bCs/>
          <w:sz w:val="24"/>
          <w:szCs w:val="24"/>
        </w:rPr>
        <w:t>TAFDC and EAEDC applications include automatic SNAP application</w:t>
      </w:r>
      <w:r>
        <w:rPr>
          <w:rFonts w:cs="Arial"/>
          <w:bCs/>
          <w:sz w:val="24"/>
          <w:szCs w:val="24"/>
        </w:rPr>
        <w:t xml:space="preserve"> (though one can opt-out in certain situations). DTA staff refer EAEDC applicants who appear to be eligible to SSI (an SSI application is required). </w:t>
      </w:r>
    </w:p>
    <w:p w:rsidR="001A35AF" w:rsidRDefault="001A35AF" w:rsidP="009309F6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</w:p>
    <w:p w:rsidR="009309F6" w:rsidRDefault="009309F6" w:rsidP="009309F6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 w:rsidRPr="001C28D7">
        <w:rPr>
          <w:rFonts w:cs="Arial"/>
          <w:b/>
          <w:bCs/>
          <w:sz w:val="24"/>
          <w:szCs w:val="24"/>
        </w:rPr>
        <w:t xml:space="preserve">Other programs:  </w:t>
      </w:r>
    </w:p>
    <w:p w:rsidR="009309F6" w:rsidRDefault="009309F6" w:rsidP="009309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 w:rsidRPr="001C28D7">
        <w:rPr>
          <w:rFonts w:cs="Arial"/>
          <w:b/>
          <w:bCs/>
          <w:sz w:val="24"/>
          <w:szCs w:val="24"/>
        </w:rPr>
        <w:t>SSI/SSDI</w:t>
      </w:r>
      <w:r w:rsidRPr="001C28D7">
        <w:rPr>
          <w:rFonts w:cs="Arial"/>
          <w:bCs/>
          <w:sz w:val="24"/>
          <w:szCs w:val="24"/>
        </w:rPr>
        <w:t xml:space="preserve">- apply at Social Security Administration </w:t>
      </w:r>
      <w:r>
        <w:rPr>
          <w:rFonts w:cs="Arial"/>
          <w:bCs/>
          <w:sz w:val="24"/>
          <w:szCs w:val="24"/>
        </w:rPr>
        <w:t>N</w:t>
      </w:r>
      <w:r w:rsidRPr="001C28D7">
        <w:rPr>
          <w:rFonts w:cs="Arial"/>
          <w:bCs/>
          <w:sz w:val="24"/>
          <w:szCs w:val="24"/>
        </w:rPr>
        <w:t xml:space="preserve">ote: one can also apply for SNAP at SSA; SSA is required to forward application to DTA. </w:t>
      </w:r>
      <w:r>
        <w:rPr>
          <w:rFonts w:cs="Arial"/>
          <w:bCs/>
          <w:sz w:val="24"/>
          <w:szCs w:val="24"/>
        </w:rPr>
        <w:t>In certain circumstances those receiving SSI will automatically get SNAP.</w:t>
      </w:r>
    </w:p>
    <w:p w:rsidR="009309F6" w:rsidRDefault="009309F6" w:rsidP="009309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 w:rsidRPr="001C28D7">
        <w:rPr>
          <w:rFonts w:cs="Arial"/>
          <w:b/>
          <w:bCs/>
          <w:sz w:val="24"/>
          <w:szCs w:val="24"/>
        </w:rPr>
        <w:t>Fuel Assistance</w:t>
      </w:r>
      <w:r w:rsidRPr="001C28D7">
        <w:rPr>
          <w:rFonts w:cs="Arial"/>
          <w:bCs/>
          <w:sz w:val="24"/>
          <w:szCs w:val="24"/>
        </w:rPr>
        <w:t xml:space="preserve">- apply at local community action program (ABCD in Boston area). </w:t>
      </w:r>
    </w:p>
    <w:p w:rsidR="009309F6" w:rsidRDefault="009309F6" w:rsidP="009309F6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9309F6" w:rsidRDefault="009309F6" w:rsidP="009309F6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aren’t sure what someone should apply for, please consult the CRC. Other information and referral resources include: </w:t>
      </w:r>
    </w:p>
    <w:p w:rsidR="009309F6" w:rsidRPr="00C8647B" w:rsidRDefault="009309F6" w:rsidP="0093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 w:rsidRPr="00C8647B">
        <w:rPr>
          <w:rFonts w:cs="Arial"/>
          <w:b/>
          <w:sz w:val="24"/>
          <w:szCs w:val="24"/>
        </w:rPr>
        <w:t>For elders</w:t>
      </w:r>
      <w:r>
        <w:rPr>
          <w:rFonts w:cs="Arial"/>
          <w:sz w:val="24"/>
          <w:szCs w:val="24"/>
        </w:rPr>
        <w:t xml:space="preserve">: </w:t>
      </w:r>
      <w:r w:rsidRPr="00C8647B">
        <w:rPr>
          <w:rFonts w:cs="Arial"/>
          <w:sz w:val="24"/>
          <w:szCs w:val="24"/>
        </w:rPr>
        <w:t xml:space="preserve"> </w:t>
      </w:r>
      <w:hyperlink r:id="rId9" w:history="1">
        <w:r w:rsidRPr="00C8647B">
          <w:rPr>
            <w:rStyle w:val="Hyperlink"/>
            <w:rFonts w:cs="Arial"/>
            <w:sz w:val="24"/>
            <w:szCs w:val="24"/>
          </w:rPr>
          <w:t>800AgeInfo.com</w:t>
        </w:r>
      </w:hyperlink>
      <w:r w:rsidRPr="00C8647B">
        <w:rPr>
          <w:rFonts w:cs="Arial"/>
          <w:sz w:val="24"/>
          <w:szCs w:val="24"/>
        </w:rPr>
        <w:t xml:space="preserve"> or 800-243-4636</w:t>
      </w:r>
    </w:p>
    <w:p w:rsidR="009309F6" w:rsidRPr="00C8647B" w:rsidRDefault="009309F6" w:rsidP="009309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Style w:val="style1"/>
          <w:rFonts w:cs="Arial"/>
          <w:bCs/>
          <w:sz w:val="24"/>
          <w:szCs w:val="24"/>
        </w:rPr>
      </w:pPr>
      <w:r w:rsidRPr="00C8647B">
        <w:rPr>
          <w:rFonts w:cs="Arial"/>
          <w:b/>
          <w:sz w:val="24"/>
          <w:szCs w:val="24"/>
        </w:rPr>
        <w:t>For people with disabilities</w:t>
      </w:r>
      <w:r>
        <w:rPr>
          <w:rFonts w:cs="Arial"/>
          <w:sz w:val="24"/>
          <w:szCs w:val="24"/>
        </w:rPr>
        <w:t xml:space="preserve">: </w:t>
      </w:r>
      <w:r w:rsidRPr="00C8647B">
        <w:rPr>
          <w:rFonts w:cs="Arial"/>
          <w:sz w:val="24"/>
          <w:szCs w:val="24"/>
        </w:rPr>
        <w:t xml:space="preserve"> </w:t>
      </w:r>
      <w:r w:rsidRPr="00C8647B">
        <w:rPr>
          <w:rStyle w:val="style9"/>
          <w:rFonts w:cs="Arial"/>
          <w:b/>
          <w:bCs/>
          <w:sz w:val="24"/>
          <w:szCs w:val="24"/>
        </w:rPr>
        <w:t>Independent Living Centers</w:t>
      </w:r>
      <w:r w:rsidRPr="00C8647B">
        <w:rPr>
          <w:rStyle w:val="style1"/>
          <w:rFonts w:cs="Arial"/>
          <w:sz w:val="24"/>
          <w:szCs w:val="24"/>
        </w:rPr>
        <w:t xml:space="preserve">- </w:t>
      </w:r>
      <w:hyperlink r:id="rId10" w:history="1">
        <w:r w:rsidRPr="00C8647B">
          <w:rPr>
            <w:rStyle w:val="Strong"/>
            <w:rFonts w:cs="Arial"/>
            <w:color w:val="0000FF"/>
            <w:sz w:val="24"/>
            <w:szCs w:val="24"/>
          </w:rPr>
          <w:t>Mass List</w:t>
        </w:r>
      </w:hyperlink>
    </w:p>
    <w:p w:rsidR="009309F6" w:rsidRDefault="009309F6" w:rsidP="009309F6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9309F6" w:rsidRPr="00C8647B" w:rsidRDefault="009309F6" w:rsidP="009309F6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The CRC welcomes your feedback about patients’ real-world experiences and if you know of additional advocacy and case-management resources. </w:t>
      </w:r>
    </w:p>
    <w:p w:rsidR="009309F6" w:rsidRDefault="009309F6">
      <w:pPr>
        <w:rPr>
          <w:b/>
          <w:sz w:val="32"/>
          <w:szCs w:val="32"/>
        </w:rPr>
      </w:pPr>
    </w:p>
    <w:p w:rsidR="00A82424" w:rsidRPr="00F64B15" w:rsidRDefault="00A82424">
      <w:pPr>
        <w:rPr>
          <w:b/>
          <w:sz w:val="36"/>
          <w:szCs w:val="36"/>
        </w:rPr>
      </w:pPr>
      <w:r w:rsidRPr="00F64B15">
        <w:rPr>
          <w:b/>
          <w:sz w:val="36"/>
          <w:szCs w:val="36"/>
        </w:rPr>
        <w:t xml:space="preserve">Is EAEDC for caregivers the same as </w:t>
      </w:r>
      <w:r w:rsidR="00612DB9" w:rsidRPr="00F64B15">
        <w:rPr>
          <w:b/>
          <w:sz w:val="36"/>
          <w:szCs w:val="36"/>
        </w:rPr>
        <w:t>the</w:t>
      </w:r>
      <w:r w:rsidRPr="00F64B15">
        <w:rPr>
          <w:b/>
          <w:sz w:val="36"/>
          <w:szCs w:val="36"/>
        </w:rPr>
        <w:t xml:space="preserve"> PCA</w:t>
      </w:r>
      <w:r w:rsidR="00612DB9" w:rsidRPr="00F64B15">
        <w:rPr>
          <w:b/>
          <w:sz w:val="36"/>
          <w:szCs w:val="36"/>
        </w:rPr>
        <w:t xml:space="preserve"> program</w:t>
      </w:r>
      <w:r w:rsidRPr="00F64B15">
        <w:rPr>
          <w:b/>
          <w:sz w:val="36"/>
          <w:szCs w:val="36"/>
        </w:rPr>
        <w:t>?</w:t>
      </w:r>
    </w:p>
    <w:p w:rsidR="00A82424" w:rsidRDefault="00A82424">
      <w:pPr>
        <w:rPr>
          <w:sz w:val="24"/>
          <w:szCs w:val="24"/>
        </w:rPr>
      </w:pPr>
      <w:r w:rsidRPr="00345E90">
        <w:rPr>
          <w:b/>
          <w:sz w:val="24"/>
          <w:szCs w:val="24"/>
        </w:rPr>
        <w:t>The PCA program</w:t>
      </w:r>
      <w:r w:rsidRPr="00A82424">
        <w:rPr>
          <w:sz w:val="24"/>
          <w:szCs w:val="24"/>
        </w:rPr>
        <w:t xml:space="preserve"> is a MassHealth </w:t>
      </w:r>
      <w:r w:rsidR="00340939" w:rsidRPr="00A82424">
        <w:rPr>
          <w:sz w:val="24"/>
          <w:szCs w:val="24"/>
        </w:rPr>
        <w:t>program</w:t>
      </w:r>
      <w:r w:rsidR="00340939">
        <w:rPr>
          <w:sz w:val="24"/>
          <w:szCs w:val="24"/>
        </w:rPr>
        <w:t xml:space="preserve"> </w:t>
      </w:r>
      <w:r>
        <w:rPr>
          <w:sz w:val="24"/>
          <w:szCs w:val="24"/>
        </w:rPr>
        <w:t>that allows certain p</w:t>
      </w:r>
      <w:r w:rsidR="00340939">
        <w:rPr>
          <w:sz w:val="24"/>
          <w:szCs w:val="24"/>
        </w:rPr>
        <w:t>eople with disabilities to hire and train caregiver</w:t>
      </w:r>
      <w:r w:rsidR="00D03A71">
        <w:rPr>
          <w:sz w:val="24"/>
          <w:szCs w:val="24"/>
        </w:rPr>
        <w:t>(s)</w:t>
      </w:r>
      <w:r w:rsidR="00340939">
        <w:rPr>
          <w:sz w:val="24"/>
          <w:szCs w:val="24"/>
        </w:rPr>
        <w:t xml:space="preserve"> for a </w:t>
      </w:r>
      <w:r w:rsidR="00345E90">
        <w:rPr>
          <w:sz w:val="24"/>
          <w:szCs w:val="24"/>
        </w:rPr>
        <w:t xml:space="preserve">pre-approved </w:t>
      </w:r>
      <w:r w:rsidR="00340939">
        <w:rPr>
          <w:sz w:val="24"/>
          <w:szCs w:val="24"/>
        </w:rPr>
        <w:t xml:space="preserve">number of hours of hands-on care. The caregiver may be </w:t>
      </w:r>
      <w:r w:rsidR="00B222EA">
        <w:rPr>
          <w:sz w:val="24"/>
          <w:szCs w:val="24"/>
        </w:rPr>
        <w:t xml:space="preserve">a stranger, friend or </w:t>
      </w:r>
      <w:r w:rsidR="00340939">
        <w:rPr>
          <w:sz w:val="24"/>
          <w:szCs w:val="24"/>
        </w:rPr>
        <w:t xml:space="preserve">a </w:t>
      </w:r>
      <w:r w:rsidRPr="00340939">
        <w:rPr>
          <w:b/>
          <w:sz w:val="24"/>
          <w:szCs w:val="24"/>
        </w:rPr>
        <w:t>non-legally responsible</w:t>
      </w:r>
      <w:r>
        <w:rPr>
          <w:sz w:val="24"/>
          <w:szCs w:val="24"/>
        </w:rPr>
        <w:t xml:space="preserve"> relative</w:t>
      </w:r>
      <w:r w:rsidR="003409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40939">
        <w:rPr>
          <w:sz w:val="24"/>
          <w:szCs w:val="24"/>
        </w:rPr>
        <w:t xml:space="preserve">Legally responsible relatives </w:t>
      </w:r>
      <w:r w:rsidR="00B222EA">
        <w:rPr>
          <w:sz w:val="24"/>
          <w:szCs w:val="24"/>
        </w:rPr>
        <w:t>(s</w:t>
      </w:r>
      <w:r w:rsidR="00340939">
        <w:rPr>
          <w:sz w:val="24"/>
          <w:szCs w:val="24"/>
        </w:rPr>
        <w:t>uch as the patient’s spouse</w:t>
      </w:r>
      <w:r w:rsidR="00345E90">
        <w:rPr>
          <w:sz w:val="24"/>
          <w:szCs w:val="24"/>
        </w:rPr>
        <w:t>, guardian</w:t>
      </w:r>
      <w:r w:rsidR="00B222EA">
        <w:rPr>
          <w:sz w:val="24"/>
          <w:szCs w:val="24"/>
        </w:rPr>
        <w:t xml:space="preserve"> or </w:t>
      </w:r>
      <w:r w:rsidR="00340939">
        <w:rPr>
          <w:sz w:val="24"/>
          <w:szCs w:val="24"/>
        </w:rPr>
        <w:t>parents of a minor child</w:t>
      </w:r>
      <w:r w:rsidR="00B222EA">
        <w:rPr>
          <w:sz w:val="24"/>
          <w:szCs w:val="24"/>
        </w:rPr>
        <w:t>)</w:t>
      </w:r>
      <w:r w:rsidR="00340939">
        <w:rPr>
          <w:sz w:val="24"/>
          <w:szCs w:val="24"/>
        </w:rPr>
        <w:t xml:space="preserve"> are not eligible to be paid PCAs. </w:t>
      </w:r>
      <w:r w:rsidR="009166EF">
        <w:rPr>
          <w:sz w:val="24"/>
          <w:szCs w:val="24"/>
        </w:rPr>
        <w:t xml:space="preserve">The PCA does not need to </w:t>
      </w:r>
      <w:r w:rsidR="006A4347">
        <w:rPr>
          <w:sz w:val="24"/>
          <w:szCs w:val="24"/>
        </w:rPr>
        <w:t>qualify as low-</w:t>
      </w:r>
      <w:r w:rsidR="00B222EA">
        <w:rPr>
          <w:sz w:val="24"/>
          <w:szCs w:val="24"/>
        </w:rPr>
        <w:t>income.</w:t>
      </w:r>
    </w:p>
    <w:p w:rsidR="009166EF" w:rsidRDefault="00340939">
      <w:pPr>
        <w:rPr>
          <w:sz w:val="24"/>
          <w:szCs w:val="24"/>
        </w:rPr>
      </w:pPr>
      <w:r w:rsidRPr="00345E90">
        <w:rPr>
          <w:b/>
          <w:sz w:val="24"/>
          <w:szCs w:val="24"/>
        </w:rPr>
        <w:t>EAED</w:t>
      </w:r>
      <w:r w:rsidR="009166EF" w:rsidRPr="00345E90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="00B222EA">
        <w:rPr>
          <w:sz w:val="24"/>
          <w:szCs w:val="24"/>
        </w:rPr>
        <w:t>is a cash assistance program</w:t>
      </w:r>
      <w:r>
        <w:rPr>
          <w:sz w:val="24"/>
          <w:szCs w:val="24"/>
        </w:rPr>
        <w:t>.</w:t>
      </w:r>
      <w:r w:rsidR="00CC2881">
        <w:rPr>
          <w:sz w:val="24"/>
          <w:szCs w:val="24"/>
        </w:rPr>
        <w:t xml:space="preserve"> A person with a disability may qualify for benefits. A caregiver for a disabled person may also qualify</w:t>
      </w:r>
      <w:r w:rsidR="004101DF">
        <w:rPr>
          <w:sz w:val="24"/>
          <w:szCs w:val="24"/>
        </w:rPr>
        <w:t xml:space="preserve"> and, u</w:t>
      </w:r>
      <w:r w:rsidR="00CC2881">
        <w:rPr>
          <w:sz w:val="24"/>
          <w:szCs w:val="24"/>
        </w:rPr>
        <w:t xml:space="preserve">nlike the PCA program, </w:t>
      </w:r>
      <w:r w:rsidR="00FD6D7A">
        <w:rPr>
          <w:sz w:val="24"/>
          <w:szCs w:val="24"/>
        </w:rPr>
        <w:t xml:space="preserve">the caregiver may be a </w:t>
      </w:r>
      <w:r w:rsidR="00CC2881">
        <w:rPr>
          <w:sz w:val="24"/>
          <w:szCs w:val="24"/>
        </w:rPr>
        <w:t>legally responsible relative</w:t>
      </w:r>
      <w:r w:rsidR="009166EF">
        <w:rPr>
          <w:sz w:val="24"/>
          <w:szCs w:val="24"/>
        </w:rPr>
        <w:t xml:space="preserve"> (</w:t>
      </w:r>
      <w:r w:rsidR="00FD6D7A">
        <w:rPr>
          <w:sz w:val="24"/>
          <w:szCs w:val="24"/>
        </w:rPr>
        <w:t xml:space="preserve">such as </w:t>
      </w:r>
      <w:r w:rsidR="009166EF">
        <w:rPr>
          <w:sz w:val="24"/>
          <w:szCs w:val="24"/>
        </w:rPr>
        <w:t xml:space="preserve">a spouse or parent of a minor child). As noted in </w:t>
      </w:r>
      <w:r w:rsidR="006A4347">
        <w:rPr>
          <w:sz w:val="24"/>
          <w:szCs w:val="24"/>
        </w:rPr>
        <w:t xml:space="preserve">the </w:t>
      </w:r>
      <w:r w:rsidR="009166EF">
        <w:rPr>
          <w:sz w:val="24"/>
          <w:szCs w:val="24"/>
        </w:rPr>
        <w:t xml:space="preserve">presentation, </w:t>
      </w:r>
      <w:r w:rsidR="004101DF">
        <w:rPr>
          <w:sz w:val="24"/>
          <w:szCs w:val="24"/>
        </w:rPr>
        <w:t xml:space="preserve">in determining a caregiver’s financial eligibility, </w:t>
      </w:r>
      <w:r w:rsidR="009166EF">
        <w:rPr>
          <w:sz w:val="24"/>
          <w:szCs w:val="24"/>
        </w:rPr>
        <w:t xml:space="preserve">EAEDC considers </w:t>
      </w:r>
      <w:r w:rsidR="004101DF">
        <w:rPr>
          <w:sz w:val="24"/>
          <w:szCs w:val="24"/>
        </w:rPr>
        <w:t xml:space="preserve">the </w:t>
      </w:r>
      <w:r w:rsidR="009166EF">
        <w:rPr>
          <w:sz w:val="24"/>
          <w:szCs w:val="24"/>
        </w:rPr>
        <w:t>financ</w:t>
      </w:r>
      <w:r w:rsidR="004101DF">
        <w:rPr>
          <w:sz w:val="24"/>
          <w:szCs w:val="24"/>
        </w:rPr>
        <w:t>es of</w:t>
      </w:r>
      <w:r w:rsidR="009166EF">
        <w:rPr>
          <w:sz w:val="24"/>
          <w:szCs w:val="24"/>
        </w:rPr>
        <w:t xml:space="preserve"> </w:t>
      </w:r>
      <w:r w:rsidR="009166EF" w:rsidRPr="00FD6D7A">
        <w:rPr>
          <w:b/>
          <w:sz w:val="24"/>
          <w:szCs w:val="24"/>
        </w:rPr>
        <w:t>both</w:t>
      </w:r>
      <w:r w:rsidR="009166EF">
        <w:rPr>
          <w:sz w:val="24"/>
          <w:szCs w:val="24"/>
        </w:rPr>
        <w:t xml:space="preserve"> the caregiver and the person with a disability.</w:t>
      </w:r>
    </w:p>
    <w:p w:rsidR="0069438A" w:rsidRDefault="00B222EA" w:rsidP="00F154A5">
      <w:pPr>
        <w:rPr>
          <w:b/>
          <w:sz w:val="24"/>
          <w:szCs w:val="24"/>
        </w:rPr>
      </w:pPr>
      <w:r w:rsidRPr="00F154A5">
        <w:rPr>
          <w:b/>
          <w:sz w:val="24"/>
          <w:szCs w:val="24"/>
        </w:rPr>
        <w:t>Which is better?</w:t>
      </w:r>
      <w:r w:rsidRPr="00F154A5">
        <w:rPr>
          <w:sz w:val="24"/>
          <w:szCs w:val="24"/>
        </w:rPr>
        <w:t xml:space="preserve"> </w:t>
      </w:r>
      <w:r w:rsidR="00612DB9">
        <w:rPr>
          <w:sz w:val="24"/>
          <w:szCs w:val="24"/>
        </w:rPr>
        <w:t xml:space="preserve">The current wage for a PCA is </w:t>
      </w:r>
      <w:r w:rsidR="00612DB9" w:rsidRPr="00612DB9">
        <w:rPr>
          <w:sz w:val="24"/>
          <w:szCs w:val="24"/>
        </w:rPr>
        <w:t>$13.38/hour</w:t>
      </w:r>
      <w:r w:rsidR="00612DB9">
        <w:rPr>
          <w:sz w:val="24"/>
          <w:szCs w:val="24"/>
        </w:rPr>
        <w:t xml:space="preserve">, the current maximum </w:t>
      </w:r>
      <w:r w:rsidR="0069438A" w:rsidRPr="0069438A">
        <w:rPr>
          <w:b/>
          <w:sz w:val="24"/>
          <w:szCs w:val="24"/>
        </w:rPr>
        <w:t>monthly</w:t>
      </w:r>
      <w:r w:rsidR="0069438A">
        <w:rPr>
          <w:sz w:val="24"/>
          <w:szCs w:val="24"/>
        </w:rPr>
        <w:t xml:space="preserve"> </w:t>
      </w:r>
      <w:r w:rsidR="00612DB9">
        <w:rPr>
          <w:sz w:val="24"/>
          <w:szCs w:val="24"/>
        </w:rPr>
        <w:t>EAEDC benefit for an individual</w:t>
      </w:r>
      <w:r w:rsidR="00F154A5">
        <w:rPr>
          <w:sz w:val="24"/>
          <w:szCs w:val="24"/>
        </w:rPr>
        <w:t xml:space="preserve"> </w:t>
      </w:r>
      <w:r w:rsidR="00612DB9">
        <w:rPr>
          <w:sz w:val="24"/>
          <w:szCs w:val="24"/>
        </w:rPr>
        <w:t>is $303</w:t>
      </w:r>
      <w:r w:rsidR="00D33BC5">
        <w:rPr>
          <w:sz w:val="24"/>
          <w:szCs w:val="24"/>
        </w:rPr>
        <w:t>. If one works more than 23 hours/month the PCA program would pay more</w:t>
      </w:r>
      <w:r w:rsidR="009F32F0">
        <w:rPr>
          <w:sz w:val="24"/>
          <w:szCs w:val="24"/>
        </w:rPr>
        <w:t xml:space="preserve"> (and one would be ineligible for EAEDC due to income)</w:t>
      </w:r>
      <w:r w:rsidR="00612DB9">
        <w:rPr>
          <w:sz w:val="24"/>
          <w:szCs w:val="24"/>
        </w:rPr>
        <w:t>.</w:t>
      </w:r>
      <w:r w:rsidR="00612DB9" w:rsidRPr="00D33BC5">
        <w:rPr>
          <w:b/>
          <w:sz w:val="24"/>
          <w:szCs w:val="24"/>
        </w:rPr>
        <w:t xml:space="preserve"> </w:t>
      </w:r>
    </w:p>
    <w:p w:rsidR="00F154A5" w:rsidRPr="0069438A" w:rsidRDefault="00F154A5" w:rsidP="00F154A5">
      <w:pPr>
        <w:rPr>
          <w:sz w:val="24"/>
          <w:szCs w:val="24"/>
        </w:rPr>
      </w:pPr>
      <w:r w:rsidRPr="00D33BC5">
        <w:rPr>
          <w:b/>
          <w:sz w:val="24"/>
          <w:szCs w:val="24"/>
        </w:rPr>
        <w:t xml:space="preserve">Situations </w:t>
      </w:r>
      <w:r w:rsidR="00612DB9" w:rsidRPr="00D33BC5">
        <w:rPr>
          <w:b/>
          <w:sz w:val="24"/>
          <w:szCs w:val="24"/>
        </w:rPr>
        <w:t>in which</w:t>
      </w:r>
      <w:r w:rsidRPr="00D33BC5">
        <w:rPr>
          <w:b/>
          <w:sz w:val="24"/>
          <w:szCs w:val="24"/>
        </w:rPr>
        <w:t xml:space="preserve"> one</w:t>
      </w:r>
      <w:r w:rsidR="00D33BC5" w:rsidRPr="00D33BC5">
        <w:rPr>
          <w:b/>
          <w:sz w:val="24"/>
          <w:szCs w:val="24"/>
        </w:rPr>
        <w:t xml:space="preserve"> may be in</w:t>
      </w:r>
      <w:r w:rsidRPr="00D33BC5">
        <w:rPr>
          <w:b/>
          <w:sz w:val="24"/>
          <w:szCs w:val="24"/>
        </w:rPr>
        <w:t>eligible for the PCA program</w:t>
      </w:r>
      <w:r w:rsidR="00345E90" w:rsidRPr="00D33BC5">
        <w:rPr>
          <w:b/>
          <w:sz w:val="24"/>
          <w:szCs w:val="24"/>
        </w:rPr>
        <w:t xml:space="preserve"> and </w:t>
      </w:r>
      <w:r w:rsidR="0069438A">
        <w:rPr>
          <w:b/>
          <w:sz w:val="24"/>
          <w:szCs w:val="24"/>
        </w:rPr>
        <w:t xml:space="preserve">might </w:t>
      </w:r>
      <w:r w:rsidR="00345E90" w:rsidRPr="00D33BC5">
        <w:rPr>
          <w:b/>
          <w:sz w:val="24"/>
          <w:szCs w:val="24"/>
        </w:rPr>
        <w:t xml:space="preserve"> consider EAEDC</w:t>
      </w:r>
      <w:r w:rsidR="0069438A">
        <w:rPr>
          <w:b/>
          <w:sz w:val="24"/>
          <w:szCs w:val="24"/>
        </w:rPr>
        <w:t xml:space="preserve"> </w:t>
      </w:r>
      <w:r w:rsidR="0069438A" w:rsidRPr="0069438A">
        <w:rPr>
          <w:sz w:val="24"/>
          <w:szCs w:val="24"/>
        </w:rPr>
        <w:t>(keeping in mind the very strict financial criteria</w:t>
      </w:r>
      <w:r w:rsidR="0069438A">
        <w:rPr>
          <w:sz w:val="24"/>
          <w:szCs w:val="24"/>
        </w:rPr>
        <w:t>- assets less than $250/individual, $500/couple; income less than benefit level)</w:t>
      </w:r>
      <w:r w:rsidR="00D03A71" w:rsidRPr="0069438A">
        <w:rPr>
          <w:sz w:val="24"/>
          <w:szCs w:val="24"/>
        </w:rPr>
        <w:t>:</w:t>
      </w:r>
    </w:p>
    <w:p w:rsidR="00F154A5" w:rsidRDefault="00F154A5" w:rsidP="00F15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caregiver is </w:t>
      </w:r>
      <w:r w:rsidR="00D33BC5">
        <w:rPr>
          <w:sz w:val="24"/>
          <w:szCs w:val="24"/>
        </w:rPr>
        <w:t xml:space="preserve">a </w:t>
      </w:r>
      <w:r>
        <w:rPr>
          <w:sz w:val="24"/>
          <w:szCs w:val="24"/>
        </w:rPr>
        <w:t>legally responsible</w:t>
      </w:r>
      <w:r w:rsidR="00D33BC5">
        <w:rPr>
          <w:sz w:val="24"/>
          <w:szCs w:val="24"/>
        </w:rPr>
        <w:t xml:space="preserve"> relative to</w:t>
      </w:r>
      <w:r>
        <w:rPr>
          <w:sz w:val="24"/>
          <w:szCs w:val="24"/>
        </w:rPr>
        <w:t xml:space="preserve"> the person with a disability (a spouse, a </w:t>
      </w:r>
      <w:r w:rsidR="00D33BC5">
        <w:rPr>
          <w:sz w:val="24"/>
          <w:szCs w:val="24"/>
        </w:rPr>
        <w:t xml:space="preserve">parent of a </w:t>
      </w:r>
      <w:r>
        <w:rPr>
          <w:sz w:val="24"/>
          <w:szCs w:val="24"/>
        </w:rPr>
        <w:t>minor child</w:t>
      </w:r>
      <w:r w:rsidR="002201A3">
        <w:rPr>
          <w:sz w:val="24"/>
          <w:szCs w:val="24"/>
        </w:rPr>
        <w:t>, etc.</w:t>
      </w:r>
      <w:r>
        <w:rPr>
          <w:sz w:val="24"/>
          <w:szCs w:val="24"/>
        </w:rPr>
        <w:t>)</w:t>
      </w:r>
    </w:p>
    <w:p w:rsidR="00B222EA" w:rsidRDefault="00F154A5" w:rsidP="00F154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4A5">
        <w:rPr>
          <w:sz w:val="24"/>
          <w:szCs w:val="24"/>
        </w:rPr>
        <w:t xml:space="preserve">the disabled person doesn’t </w:t>
      </w:r>
      <w:r w:rsidR="00D33BC5">
        <w:rPr>
          <w:sz w:val="24"/>
          <w:szCs w:val="24"/>
        </w:rPr>
        <w:t>qualify for</w:t>
      </w:r>
      <w:r w:rsidRPr="00F154A5">
        <w:rPr>
          <w:sz w:val="24"/>
          <w:szCs w:val="24"/>
        </w:rPr>
        <w:t xml:space="preserve"> </w:t>
      </w:r>
      <w:r w:rsidR="00D03A71">
        <w:rPr>
          <w:sz w:val="24"/>
          <w:szCs w:val="24"/>
        </w:rPr>
        <w:t>MassHealth</w:t>
      </w:r>
      <w:r w:rsidR="00BA7767">
        <w:rPr>
          <w:sz w:val="24"/>
          <w:szCs w:val="24"/>
        </w:rPr>
        <w:t xml:space="preserve"> or a MassHealth</w:t>
      </w:r>
      <w:r w:rsidR="00D03A71">
        <w:rPr>
          <w:sz w:val="24"/>
          <w:szCs w:val="24"/>
        </w:rPr>
        <w:t xml:space="preserve"> coverage type that cover</w:t>
      </w:r>
      <w:r w:rsidR="00D33BC5">
        <w:rPr>
          <w:sz w:val="24"/>
          <w:szCs w:val="24"/>
        </w:rPr>
        <w:t>s</w:t>
      </w:r>
      <w:r w:rsidR="00D03A71">
        <w:rPr>
          <w:sz w:val="24"/>
          <w:szCs w:val="24"/>
        </w:rPr>
        <w:t xml:space="preserve"> PCA</w:t>
      </w:r>
      <w:r w:rsidRPr="00F154A5">
        <w:rPr>
          <w:sz w:val="24"/>
          <w:szCs w:val="24"/>
        </w:rPr>
        <w:t xml:space="preserve"> (perhaps because of immigration status)</w:t>
      </w:r>
    </w:p>
    <w:p w:rsidR="001A35AF" w:rsidRPr="00D4602B" w:rsidRDefault="00F154A5" w:rsidP="00D460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disabled person has </w:t>
      </w:r>
      <w:r w:rsidR="004E3B5B">
        <w:rPr>
          <w:sz w:val="24"/>
          <w:szCs w:val="24"/>
        </w:rPr>
        <w:t>intermittent needs</w:t>
      </w:r>
      <w:r w:rsidR="00D03A71">
        <w:rPr>
          <w:sz w:val="24"/>
          <w:szCs w:val="24"/>
        </w:rPr>
        <w:t xml:space="preserve"> or needs are for supervision and cuing rather than hands-on care</w:t>
      </w:r>
      <w:r w:rsidR="004E3B5B">
        <w:rPr>
          <w:sz w:val="24"/>
          <w:szCs w:val="24"/>
        </w:rPr>
        <w:t xml:space="preserve"> or otherwise doesn’t fit the PCA program requirements</w:t>
      </w:r>
    </w:p>
    <w:p w:rsidR="001A35AF" w:rsidRPr="00D4602B" w:rsidRDefault="001A35AF" w:rsidP="00D4602B">
      <w:pPr>
        <w:rPr>
          <w:sz w:val="24"/>
          <w:szCs w:val="24"/>
        </w:rPr>
      </w:pPr>
    </w:p>
    <w:tbl>
      <w:tblPr>
        <w:tblStyle w:val="TableGrid"/>
        <w:tblW w:w="9872" w:type="dxa"/>
        <w:jc w:val="center"/>
        <w:tblLook w:val="04A0"/>
      </w:tblPr>
      <w:tblGrid>
        <w:gridCol w:w="1219"/>
        <w:gridCol w:w="1377"/>
        <w:gridCol w:w="1926"/>
        <w:gridCol w:w="2722"/>
        <w:gridCol w:w="2628"/>
      </w:tblGrid>
      <w:tr w:rsidR="0008209B" w:rsidTr="007962CF">
        <w:trPr>
          <w:jc w:val="center"/>
        </w:trPr>
        <w:tc>
          <w:tcPr>
            <w:tcW w:w="1219" w:type="dxa"/>
            <w:shd w:val="clear" w:color="auto" w:fill="B8CCE4" w:themeFill="accent1" w:themeFillTint="66"/>
            <w:vAlign w:val="center"/>
          </w:tcPr>
          <w:p w:rsidR="0008209B" w:rsidRPr="006A4347" w:rsidRDefault="0008209B" w:rsidP="006A4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377" w:type="dxa"/>
            <w:shd w:val="clear" w:color="auto" w:fill="B8CCE4" w:themeFill="accent1" w:themeFillTint="66"/>
            <w:vAlign w:val="center"/>
          </w:tcPr>
          <w:p w:rsidR="0008209B" w:rsidRPr="006A4347" w:rsidRDefault="0008209B" w:rsidP="006A4347">
            <w:pPr>
              <w:jc w:val="center"/>
              <w:rPr>
                <w:b/>
                <w:sz w:val="24"/>
                <w:szCs w:val="24"/>
              </w:rPr>
            </w:pPr>
            <w:r w:rsidRPr="006A4347"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1926" w:type="dxa"/>
            <w:shd w:val="clear" w:color="auto" w:fill="B8CCE4" w:themeFill="accent1" w:themeFillTint="66"/>
            <w:vAlign w:val="center"/>
          </w:tcPr>
          <w:p w:rsidR="0008209B" w:rsidRPr="006A4347" w:rsidRDefault="0008209B" w:rsidP="006A4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legally responsible relative be paid?</w:t>
            </w:r>
          </w:p>
        </w:tc>
        <w:tc>
          <w:tcPr>
            <w:tcW w:w="2722" w:type="dxa"/>
            <w:shd w:val="clear" w:color="auto" w:fill="B8CCE4" w:themeFill="accent1" w:themeFillTint="66"/>
            <w:vAlign w:val="center"/>
          </w:tcPr>
          <w:p w:rsidR="0008209B" w:rsidRPr="006A4347" w:rsidRDefault="0008209B" w:rsidP="00D83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Eligibility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:rsidR="0008209B" w:rsidRDefault="0008209B" w:rsidP="006A4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Caregiver</w:t>
            </w:r>
          </w:p>
          <w:p w:rsidR="0008209B" w:rsidRPr="006A4347" w:rsidRDefault="0008209B" w:rsidP="006A4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eligibility</w:t>
            </w:r>
          </w:p>
        </w:tc>
      </w:tr>
      <w:tr w:rsidR="0008209B" w:rsidTr="007962CF">
        <w:trPr>
          <w:trHeight w:val="872"/>
          <w:jc w:val="center"/>
        </w:trPr>
        <w:tc>
          <w:tcPr>
            <w:tcW w:w="1219" w:type="dxa"/>
          </w:tcPr>
          <w:p w:rsidR="0008209B" w:rsidRPr="006A4347" w:rsidRDefault="0008209B" w:rsidP="006A4347">
            <w:pPr>
              <w:rPr>
                <w:b/>
                <w:sz w:val="24"/>
                <w:szCs w:val="24"/>
              </w:rPr>
            </w:pPr>
            <w:r w:rsidRPr="006A4347">
              <w:rPr>
                <w:b/>
                <w:sz w:val="24"/>
                <w:szCs w:val="24"/>
              </w:rPr>
              <w:t>PCA</w:t>
            </w:r>
          </w:p>
        </w:tc>
        <w:tc>
          <w:tcPr>
            <w:tcW w:w="1377" w:type="dxa"/>
          </w:tcPr>
          <w:p w:rsidR="0008209B" w:rsidRDefault="0008209B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MassHealth</w:t>
            </w:r>
          </w:p>
        </w:tc>
        <w:tc>
          <w:tcPr>
            <w:tcW w:w="1926" w:type="dxa"/>
          </w:tcPr>
          <w:p w:rsidR="0008209B" w:rsidRDefault="0008209B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722" w:type="dxa"/>
          </w:tcPr>
          <w:p w:rsidR="0008209B" w:rsidRDefault="0008209B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have MassHealth type that covers PCA; must require hands-on  care</w:t>
            </w:r>
          </w:p>
        </w:tc>
        <w:tc>
          <w:tcPr>
            <w:tcW w:w="2628" w:type="dxa"/>
          </w:tcPr>
          <w:p w:rsidR="0008209B" w:rsidRDefault="0008209B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8209B" w:rsidTr="007962CF">
        <w:trPr>
          <w:trHeight w:val="1133"/>
          <w:jc w:val="center"/>
        </w:trPr>
        <w:tc>
          <w:tcPr>
            <w:tcW w:w="1219" w:type="dxa"/>
          </w:tcPr>
          <w:p w:rsidR="0008209B" w:rsidRPr="006A4347" w:rsidRDefault="0008209B" w:rsidP="006A4347">
            <w:pPr>
              <w:rPr>
                <w:b/>
                <w:sz w:val="24"/>
                <w:szCs w:val="24"/>
              </w:rPr>
            </w:pPr>
            <w:r w:rsidRPr="006A4347">
              <w:rPr>
                <w:b/>
                <w:sz w:val="24"/>
                <w:szCs w:val="24"/>
              </w:rPr>
              <w:t>EAEDC</w:t>
            </w:r>
          </w:p>
        </w:tc>
        <w:tc>
          <w:tcPr>
            <w:tcW w:w="1377" w:type="dxa"/>
          </w:tcPr>
          <w:p w:rsidR="0008209B" w:rsidRDefault="0008209B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DTA</w:t>
            </w:r>
          </w:p>
        </w:tc>
        <w:tc>
          <w:tcPr>
            <w:tcW w:w="1926" w:type="dxa"/>
          </w:tcPr>
          <w:p w:rsidR="0008209B" w:rsidRDefault="0008209B" w:rsidP="006A4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722" w:type="dxa"/>
          </w:tcPr>
          <w:p w:rsidR="0008209B" w:rsidRDefault="007962CF" w:rsidP="00C366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 doesn’t need to qualify for MassHealth, though must meet financial criteria; </w:t>
            </w:r>
            <w:r w:rsidR="00C36655">
              <w:rPr>
                <w:sz w:val="24"/>
                <w:szCs w:val="24"/>
              </w:rPr>
              <w:t xml:space="preserve">must have letter on </w:t>
            </w:r>
            <w:r w:rsidR="00C36655" w:rsidRPr="00C36655">
              <w:rPr>
                <w:sz w:val="24"/>
                <w:szCs w:val="24"/>
              </w:rPr>
              <w:t xml:space="preserve">physician’s letterhead that verifies the disability, the </w:t>
            </w:r>
            <w:r w:rsidR="00C36655">
              <w:rPr>
                <w:sz w:val="24"/>
                <w:szCs w:val="24"/>
              </w:rPr>
              <w:t xml:space="preserve">need for constant care and that </w:t>
            </w:r>
            <w:r w:rsidR="00C36655" w:rsidRPr="00C36655">
              <w:rPr>
                <w:sz w:val="24"/>
                <w:szCs w:val="24"/>
              </w:rPr>
              <w:t>the disabled person would be at risk of institutionalization without such care</w:t>
            </w:r>
          </w:p>
        </w:tc>
        <w:tc>
          <w:tcPr>
            <w:tcW w:w="2628" w:type="dxa"/>
          </w:tcPr>
          <w:p w:rsidR="0008209B" w:rsidRDefault="0008209B" w:rsidP="00A87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h</w:t>
            </w:r>
            <w:r w:rsidR="007962CF">
              <w:rPr>
                <w:sz w:val="24"/>
                <w:szCs w:val="24"/>
              </w:rPr>
              <w:t>ave very low income and assets (</w:t>
            </w:r>
            <w:r>
              <w:rPr>
                <w:sz w:val="24"/>
                <w:szCs w:val="24"/>
              </w:rPr>
              <w:t xml:space="preserve">pt. financial </w:t>
            </w:r>
            <w:r w:rsidR="00A87A7A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 xml:space="preserve"> as well</w:t>
            </w:r>
            <w:r w:rsidR="007962CF">
              <w:rPr>
                <w:sz w:val="24"/>
                <w:szCs w:val="24"/>
              </w:rPr>
              <w:t>)</w:t>
            </w:r>
          </w:p>
        </w:tc>
      </w:tr>
    </w:tbl>
    <w:p w:rsidR="00704A38" w:rsidRDefault="00704A38" w:rsidP="00704A38">
      <w:pPr>
        <w:spacing w:before="100" w:beforeAutospacing="1" w:after="100" w:afterAutospacing="1"/>
        <w:rPr>
          <w:rFonts w:ascii="Arial" w:hAnsi="Arial" w:cs="Arial"/>
        </w:rPr>
      </w:pPr>
      <w:r>
        <w:rPr>
          <w:sz w:val="24"/>
          <w:szCs w:val="24"/>
        </w:rPr>
        <w:t xml:space="preserve">Also see: </w:t>
      </w:r>
      <w:r>
        <w:rPr>
          <w:rStyle w:val="Strong"/>
          <w:rFonts w:ascii="Arial" w:hAnsi="Arial" w:cs="Arial"/>
        </w:rPr>
        <w:t>Can I get paid for caring for a friend or relative?</w:t>
      </w:r>
      <w:r>
        <w:rPr>
          <w:rFonts w:ascii="Arial" w:hAnsi="Arial" w:cs="Arial"/>
        </w:rPr>
        <w:t xml:space="preserve">  </w:t>
      </w:r>
      <w:hyperlink r:id="rId11" w:history="1">
        <w:r>
          <w:rPr>
            <w:rStyle w:val="Hyperlink"/>
            <w:rFonts w:ascii="Arial" w:hAnsi="Arial" w:cs="Arial"/>
          </w:rPr>
          <w:t>Brief Version</w:t>
        </w:r>
      </w:hyperlink>
      <w:r>
        <w:rPr>
          <w:rFonts w:ascii="Arial" w:hAnsi="Arial" w:cs="Arial"/>
        </w:rPr>
        <w:t xml:space="preserve">  </w:t>
      </w:r>
      <w:r>
        <w:rPr>
          <w:rStyle w:val="Strong"/>
          <w:rFonts w:ascii="Arial" w:hAnsi="Arial" w:cs="Arial"/>
        </w:rPr>
        <w:t>|</w:t>
      </w:r>
      <w:r>
        <w:rPr>
          <w:rFonts w:ascii="Arial" w:hAnsi="Arial" w:cs="Arial"/>
        </w:rPr>
        <w:t xml:space="preserve">  </w:t>
      </w:r>
      <w:hyperlink r:id="rId12" w:history="1">
        <w:r>
          <w:rPr>
            <w:rStyle w:val="Hyperlink"/>
            <w:rFonts w:ascii="Arial" w:hAnsi="Arial" w:cs="Arial"/>
          </w:rPr>
          <w:t>Detailed Version</w:t>
        </w:r>
      </w:hyperlink>
      <w:r>
        <w:rPr>
          <w:rFonts w:ascii="Arial" w:hAnsi="Arial" w:cs="Arial"/>
        </w:rPr>
        <w:t xml:space="preserve"> </w:t>
      </w:r>
    </w:p>
    <w:p w:rsidR="00F64B15" w:rsidRDefault="00F64B15" w:rsidP="00704A38">
      <w:pPr>
        <w:spacing w:before="100" w:beforeAutospacing="1" w:after="100" w:afterAutospacing="1"/>
        <w:rPr>
          <w:b/>
          <w:sz w:val="32"/>
          <w:szCs w:val="32"/>
        </w:rPr>
      </w:pPr>
    </w:p>
    <w:p w:rsidR="00AE7D40" w:rsidRPr="001A35AF" w:rsidRDefault="00E30E6C" w:rsidP="00704A38">
      <w:pPr>
        <w:spacing w:before="100" w:beforeAutospacing="1" w:after="100" w:afterAutospacing="1"/>
        <w:rPr>
          <w:rFonts w:ascii="Arial" w:hAnsi="Arial" w:cs="Arial"/>
          <w:sz w:val="36"/>
          <w:szCs w:val="36"/>
        </w:rPr>
      </w:pPr>
      <w:r w:rsidRPr="001A35AF">
        <w:rPr>
          <w:b/>
          <w:sz w:val="36"/>
          <w:szCs w:val="36"/>
        </w:rPr>
        <w:t>Verifying Relationship Status for TAFDC</w:t>
      </w:r>
    </w:p>
    <w:p w:rsidR="00F97E98" w:rsidRDefault="00092A83" w:rsidP="00522E3B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Only certain relatives may qualify as caregivers of a child to receive TAFDC (see presentation). </w:t>
      </w:r>
      <w:r w:rsidR="00F97E98">
        <w:rPr>
          <w:sz w:val="24"/>
          <w:szCs w:val="24"/>
        </w:rPr>
        <w:t>O</w:t>
      </w:r>
      <w:r w:rsidR="00F26805" w:rsidRPr="00F26805">
        <w:rPr>
          <w:sz w:val="24"/>
          <w:szCs w:val="24"/>
        </w:rPr>
        <w:t xml:space="preserve">ne must verify the relationship status to qualify. </w:t>
      </w:r>
      <w:r w:rsidR="00F26805">
        <w:rPr>
          <w:sz w:val="24"/>
          <w:szCs w:val="24"/>
        </w:rPr>
        <w:t>For parents this should be relatively easy, but there are ways that other types of qualifying relatives can prove that relationship.</w:t>
      </w:r>
      <w:r w:rsidR="00522E3B">
        <w:rPr>
          <w:sz w:val="24"/>
          <w:szCs w:val="24"/>
        </w:rPr>
        <w:t xml:space="preserve"> See the lists below. </w:t>
      </w:r>
    </w:p>
    <w:p w:rsidR="00F97E98" w:rsidRDefault="00F97E98" w:rsidP="00F97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97E98">
        <w:rPr>
          <w:sz w:val="24"/>
          <w:szCs w:val="24"/>
        </w:rPr>
        <w:t xml:space="preserve">Note that </w:t>
      </w:r>
      <w:r w:rsidR="00522E3B" w:rsidRPr="00F97E98">
        <w:rPr>
          <w:sz w:val="24"/>
          <w:szCs w:val="24"/>
        </w:rPr>
        <w:t xml:space="preserve">DTA should accept </w:t>
      </w:r>
      <w:r w:rsidR="001244ED" w:rsidRPr="00F97E98">
        <w:rPr>
          <w:sz w:val="24"/>
          <w:szCs w:val="24"/>
        </w:rPr>
        <w:t>an “</w:t>
      </w:r>
      <w:r w:rsidR="00522E3B" w:rsidRPr="00F97E98">
        <w:rPr>
          <w:b/>
          <w:sz w:val="24"/>
          <w:szCs w:val="24"/>
        </w:rPr>
        <w:t>affidavit of a third person</w:t>
      </w:r>
      <w:r w:rsidR="00522E3B" w:rsidRPr="00F97E98">
        <w:rPr>
          <w:sz w:val="24"/>
          <w:szCs w:val="24"/>
        </w:rPr>
        <w:t>, if the applicant or recipient has demonstrated that he or she has tried to obtain an appropriate document.”</w:t>
      </w:r>
      <w:r w:rsidR="001244ED" w:rsidRPr="00F97E98">
        <w:rPr>
          <w:sz w:val="24"/>
          <w:szCs w:val="24"/>
        </w:rPr>
        <w:t xml:space="preserve"> </w:t>
      </w:r>
    </w:p>
    <w:p w:rsidR="00522E3B" w:rsidRPr="00F97E98" w:rsidRDefault="00F97E98" w:rsidP="00F97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F97E98">
        <w:rPr>
          <w:sz w:val="24"/>
          <w:szCs w:val="24"/>
        </w:rPr>
        <w:t>If</w:t>
      </w:r>
      <w:r w:rsidR="00720464" w:rsidRPr="00F97E98">
        <w:rPr>
          <w:sz w:val="24"/>
          <w:szCs w:val="24"/>
        </w:rPr>
        <w:t xml:space="preserve"> </w:t>
      </w:r>
      <w:r w:rsidR="001244ED" w:rsidRPr="00F97E98">
        <w:rPr>
          <w:sz w:val="24"/>
          <w:szCs w:val="24"/>
        </w:rPr>
        <w:t xml:space="preserve">one has “taken all necessary steps to obtain verification through documentation or a collateral contact and no verification is available” the applicant can provide a </w:t>
      </w:r>
      <w:r w:rsidR="001244ED" w:rsidRPr="00F97E98">
        <w:rPr>
          <w:b/>
          <w:sz w:val="24"/>
          <w:szCs w:val="24"/>
        </w:rPr>
        <w:t>self-declaration under penalties of perjury</w:t>
      </w:r>
      <w:r w:rsidR="001244ED" w:rsidRPr="00F97E98">
        <w:rPr>
          <w:sz w:val="24"/>
          <w:szCs w:val="24"/>
        </w:rPr>
        <w:t xml:space="preserve">. </w:t>
      </w:r>
    </w:p>
    <w:p w:rsidR="00720464" w:rsidRPr="00720464" w:rsidRDefault="00720464" w:rsidP="001A35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Regulations, </w:t>
      </w:r>
      <w:r w:rsidRPr="00720464">
        <w:rPr>
          <w:b/>
          <w:sz w:val="24"/>
          <w:szCs w:val="24"/>
        </w:rPr>
        <w:t>verification lists:</w:t>
      </w:r>
    </w:p>
    <w:p w:rsidR="00F26805" w:rsidRDefault="00F26805" w:rsidP="007204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From the state TAFDC regulations (</w:t>
      </w:r>
      <w:hyperlink r:id="rId13" w:history="1">
        <w:r w:rsidRPr="00F26805">
          <w:rPr>
            <w:rStyle w:val="Hyperlink"/>
            <w:rFonts w:ascii="Times New Roman" w:hAnsi="Times New Roman" w:cs="Times New Roman"/>
            <w:sz w:val="21"/>
            <w:szCs w:val="21"/>
          </w:rPr>
          <w:t>106 CMR 203</w:t>
        </w:r>
      </w:hyperlink>
      <w:r>
        <w:rPr>
          <w:rFonts w:ascii="Times New Roman" w:hAnsi="Times New Roman" w:cs="Times New Roman"/>
          <w:sz w:val="21"/>
          <w:szCs w:val="21"/>
        </w:rPr>
        <w:t xml:space="preserve">): </w:t>
      </w:r>
    </w:p>
    <w:p w:rsidR="003D6391" w:rsidRDefault="002533C0" w:rsidP="0072046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20464">
        <w:rPr>
          <w:rFonts w:ascii="Times New Roman" w:hAnsi="Times New Roman" w:cs="Times New Roman"/>
          <w:b/>
          <w:sz w:val="21"/>
          <w:szCs w:val="21"/>
        </w:rPr>
        <w:t>Relationship Requirements</w:t>
      </w:r>
      <w:r w:rsidR="00720464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20464">
        <w:rPr>
          <w:rFonts w:ascii="Times New Roman" w:hAnsi="Times New Roman" w:cs="Times New Roman"/>
          <w:sz w:val="21"/>
          <w:szCs w:val="21"/>
        </w:rPr>
        <w:t>106 CMR 203.585(A)</w:t>
      </w:r>
    </w:p>
    <w:p w:rsidR="00E30E6C" w:rsidRDefault="003D6391" w:rsidP="0072046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(1) </w:t>
      </w:r>
      <w:r w:rsidR="00E30E6C">
        <w:rPr>
          <w:rFonts w:ascii="Times New Roman" w:hAnsi="Times New Roman" w:cs="Times New Roman"/>
          <w:sz w:val="21"/>
          <w:szCs w:val="21"/>
        </w:rPr>
        <w:t>The grantee must be related to the dependent child in one of the following ways: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 A blood relative, including a mother, father, sister, brother, niece, nephew, aunt, uncle,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first cousin, first cousin once removed (second or third cousins are not included under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this definition), or any of these relatives of the preceding generation as denoted by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prefixes of grand, great, great-great, or great-great-great-grandparents; blood relatives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include those of half-blood;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(b) A stepfather, stepmother, stepbrother, or stepsister;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(c) A parent by legal adoption or any of the adopting parent's blood relatives as defined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above, natural children, or adopted children; or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(d) A spouse of any person named above, even if the marriage has been terminated by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death or divorce.</w:t>
      </w:r>
    </w:p>
    <w:p w:rsidR="00E30E6C" w:rsidRDefault="00E30E6C" w:rsidP="007204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</w:p>
    <w:p w:rsidR="002533C0" w:rsidRDefault="002533C0" w:rsidP="0072046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720464">
        <w:rPr>
          <w:rFonts w:ascii="Times New Roman" w:hAnsi="Times New Roman" w:cs="Times New Roman"/>
          <w:b/>
          <w:sz w:val="21"/>
          <w:szCs w:val="21"/>
        </w:rPr>
        <w:t>Verification</w:t>
      </w:r>
      <w:r w:rsidR="00720464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="00720464">
        <w:rPr>
          <w:rFonts w:ascii="Times New Roman" w:hAnsi="Times New Roman" w:cs="Times New Roman"/>
          <w:sz w:val="21"/>
          <w:szCs w:val="21"/>
        </w:rPr>
        <w:t>106 CMR 203.585(B)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Relationship is verified by: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 Birth certificate showing the name(s) of the parent(s); or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 For school-aged children, school records showing the address of the child and the name and</w:t>
      </w:r>
      <w:r w:rsidR="002533C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 of the relative responsible for the child.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 neither of the above is available, or for children for whom school records are not available,</w:t>
      </w:r>
    </w:p>
    <w:p w:rsidR="00E30E6C" w:rsidRDefault="00E30E6C" w:rsidP="00720464">
      <w:pPr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relationship is verified in the same manner as age. See 106 CMR 203.570(B)</w:t>
      </w:r>
      <w:r w:rsidR="00AE7D40">
        <w:rPr>
          <w:rFonts w:ascii="Times New Roman" w:hAnsi="Times New Roman" w:cs="Times New Roman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30E6C" w:rsidRDefault="00E30E6C" w:rsidP="00720464">
      <w:pPr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Marital relationship is verified by a license or certificate of marriage.</w:t>
      </w:r>
    </w:p>
    <w:p w:rsidR="00522E3B" w:rsidRDefault="00AE7D40" w:rsidP="00720464">
      <w:pPr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*Verifying relationship if none of the above is available (written for determining age, but these are what are used)</w:t>
      </w:r>
      <w:r w:rsidR="00522E3B">
        <w:rPr>
          <w:rFonts w:ascii="Times New Roman" w:hAnsi="Times New Roman" w:cs="Times New Roman"/>
          <w:sz w:val="21"/>
          <w:szCs w:val="21"/>
        </w:rPr>
        <w:t xml:space="preserve"> 106 CMR 203.570(B)(1)</w:t>
      </w:r>
    </w:p>
    <w:p w:rsidR="00AE7D40" w:rsidRDefault="00D6235E" w:rsidP="00720464">
      <w:pPr>
        <w:autoSpaceDE w:val="0"/>
        <w:autoSpaceDN w:val="0"/>
        <w:adjustRightInd w:val="0"/>
        <w:spacing w:after="0"/>
        <w:ind w:left="144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f. </w:t>
      </w:r>
      <w:r w:rsidR="00AE7D40">
        <w:rPr>
          <w:rFonts w:ascii="Times New Roman" w:hAnsi="Times New Roman" w:cs="Times New Roman"/>
          <w:sz w:val="21"/>
          <w:szCs w:val="21"/>
        </w:rPr>
        <w:t>Immigration and Naturalization records;</w:t>
      </w:r>
    </w:p>
    <w:p w:rsidR="00AE7D40" w:rsidRDefault="00AE7D40" w:rsidP="00720464">
      <w:p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g. Court records (e.g., adoption, separate support, adjudication of paternity);or</w:t>
      </w:r>
    </w:p>
    <w:p w:rsidR="00AE7D40" w:rsidRPr="002533C0" w:rsidRDefault="00AE7D40" w:rsidP="00720464">
      <w:p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1"/>
          <w:szCs w:val="21"/>
          <w:highlight w:val="yellow"/>
        </w:rPr>
      </w:pPr>
      <w:r>
        <w:rPr>
          <w:rFonts w:ascii="Times New Roman" w:hAnsi="Times New Roman" w:cs="Times New Roman"/>
          <w:sz w:val="21"/>
          <w:szCs w:val="21"/>
        </w:rPr>
        <w:t xml:space="preserve">h. </w:t>
      </w:r>
      <w:r w:rsidRPr="00D6235E">
        <w:rPr>
          <w:rFonts w:ascii="Times New Roman" w:hAnsi="Times New Roman" w:cs="Times New Roman"/>
          <w:sz w:val="21"/>
          <w:szCs w:val="21"/>
          <w:highlight w:val="yellow"/>
        </w:rPr>
        <w:t>An affidavit of a third person, if the applicant or recipient has demonstrated that he or</w:t>
      </w:r>
      <w:r w:rsidR="002533C0">
        <w:rPr>
          <w:rFonts w:ascii="Times New Roman" w:hAnsi="Times New Roman" w:cs="Times New Roman"/>
          <w:sz w:val="21"/>
          <w:szCs w:val="21"/>
          <w:highlight w:val="yellow"/>
        </w:rPr>
        <w:t xml:space="preserve"> </w:t>
      </w:r>
      <w:r w:rsidRPr="00D6235E">
        <w:rPr>
          <w:rFonts w:ascii="Times New Roman" w:hAnsi="Times New Roman" w:cs="Times New Roman"/>
          <w:sz w:val="21"/>
          <w:szCs w:val="21"/>
          <w:highlight w:val="yellow"/>
        </w:rPr>
        <w:t>she has tried to obtain an appropriate document.</w:t>
      </w:r>
    </w:p>
    <w:p w:rsidR="00D6235E" w:rsidRDefault="00D6235E" w:rsidP="00720464">
      <w:pPr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OR </w:t>
      </w:r>
    </w:p>
    <w:p w:rsidR="00D6235E" w:rsidRDefault="00522E3B" w:rsidP="00720464">
      <w:p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106 CMR 203.570(B)(2)</w:t>
      </w:r>
      <w:r w:rsidR="00D0309D">
        <w:rPr>
          <w:rFonts w:ascii="Times New Roman" w:hAnsi="Times New Roman" w:cs="Times New Roman"/>
          <w:sz w:val="21"/>
          <w:szCs w:val="21"/>
        </w:rPr>
        <w:t xml:space="preserve">: </w:t>
      </w:r>
      <w:r w:rsidR="00D6235E">
        <w:rPr>
          <w:rFonts w:ascii="Times New Roman" w:hAnsi="Times New Roman" w:cs="Times New Roman"/>
          <w:sz w:val="21"/>
          <w:szCs w:val="21"/>
        </w:rPr>
        <w:t>Any of the following, provided they are dated at least six months prior to the date of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application and provided they contain evidence of the age of the child </w:t>
      </w:r>
      <w:r w:rsidRPr="00D6235E">
        <w:rPr>
          <w:rFonts w:ascii="Times New Roman" w:hAnsi="Times New Roman" w:cs="Times New Roman"/>
          <w:i/>
          <w:sz w:val="21"/>
          <w:szCs w:val="21"/>
        </w:rPr>
        <w:t>(</w:t>
      </w:r>
      <w:r w:rsidR="00D0309D">
        <w:rPr>
          <w:rFonts w:ascii="Times New Roman" w:hAnsi="Times New Roman" w:cs="Times New Roman"/>
          <w:i/>
          <w:sz w:val="21"/>
          <w:szCs w:val="21"/>
        </w:rPr>
        <w:t xml:space="preserve">editor’s note: </w:t>
      </w:r>
      <w:r w:rsidRPr="00D6235E">
        <w:rPr>
          <w:rFonts w:ascii="Times New Roman" w:hAnsi="Times New Roman" w:cs="Times New Roman"/>
          <w:i/>
          <w:sz w:val="21"/>
          <w:szCs w:val="21"/>
        </w:rPr>
        <w:t>or in this case the relationship)</w:t>
      </w:r>
      <w:r>
        <w:rPr>
          <w:rFonts w:ascii="Times New Roman" w:hAnsi="Times New Roman" w:cs="Times New Roman"/>
          <w:sz w:val="21"/>
          <w:szCs w:val="21"/>
        </w:rPr>
        <w:t>, are also acceptable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Verification: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 School record;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 Insurance policies;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 Employment records;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 Newspaper records and local histories;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e. Indian agency records;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f. Child Welfare service records;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g. Voluntary social service records;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h. Church records;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hAnsi="Times New Roman" w:cs="Times New Roman"/>
          <w:sz w:val="21"/>
          <w:szCs w:val="21"/>
        </w:rPr>
        <w:t>. Head Start Program records;</w:t>
      </w:r>
    </w:p>
    <w:p w:rsidR="00D6235E" w:rsidRDefault="00D6235E" w:rsidP="00720464">
      <w:pPr>
        <w:autoSpaceDE w:val="0"/>
        <w:autoSpaceDN w:val="0"/>
        <w:adjustRightInd w:val="0"/>
        <w:spacing w:after="0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j. Day care center records; or</w:t>
      </w:r>
    </w:p>
    <w:p w:rsidR="00D6235E" w:rsidRDefault="00D6235E" w:rsidP="00720464">
      <w:pPr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k. Other governmental records.</w:t>
      </w:r>
    </w:p>
    <w:p w:rsidR="00947C86" w:rsidRDefault="00947C86" w:rsidP="00947C86">
      <w:pPr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</w:t>
      </w:r>
    </w:p>
    <w:p w:rsidR="00862446" w:rsidRPr="00947C86" w:rsidRDefault="00277ACC" w:rsidP="00947C86">
      <w:pPr>
        <w:ind w:left="720"/>
        <w:rPr>
          <w:b/>
          <w:sz w:val="24"/>
          <w:szCs w:val="24"/>
        </w:rPr>
      </w:pPr>
      <w:r w:rsidRPr="00F97E98">
        <w:rPr>
          <w:b/>
          <w:sz w:val="24"/>
          <w:szCs w:val="24"/>
          <w:highlight w:val="yellow"/>
        </w:rPr>
        <w:t>Self-Declaration</w:t>
      </w:r>
      <w:r w:rsidR="00947C86">
        <w:rPr>
          <w:b/>
          <w:sz w:val="24"/>
          <w:szCs w:val="24"/>
        </w:rPr>
        <w:t xml:space="preserve"> - </w:t>
      </w:r>
      <w:r w:rsidRPr="00720464">
        <w:rPr>
          <w:rFonts w:ascii="Times New Roman" w:hAnsi="Times New Roman" w:cs="Times New Roman"/>
        </w:rPr>
        <w:t>Department regulations state that when the applicant or client and the case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>manager have taken all necessary steps to obtain verification through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 xml:space="preserve">documentation or a </w:t>
      </w:r>
      <w:r w:rsidRPr="00720464">
        <w:rPr>
          <w:rFonts w:ascii="Times New Roman" w:hAnsi="Times New Roman" w:cs="Times New Roman"/>
        </w:rPr>
        <w:lastRenderedPageBreak/>
        <w:t>collateral contact and no verification is available, a self</w:t>
      </w:r>
      <w:r w:rsidR="00862446" w:rsidRPr="00720464">
        <w:rPr>
          <w:rFonts w:ascii="Times New Roman" w:hAnsi="Times New Roman" w:cs="Times New Roman"/>
        </w:rPr>
        <w:t>-</w:t>
      </w:r>
      <w:r w:rsidRPr="00720464">
        <w:rPr>
          <w:rFonts w:ascii="Times New Roman" w:hAnsi="Times New Roman" w:cs="Times New Roman"/>
        </w:rPr>
        <w:t>declaration</w:t>
      </w:r>
      <w:r w:rsidR="00862446" w:rsidRPr="00720464">
        <w:rPr>
          <w:rFonts w:ascii="Times New Roman" w:hAnsi="Times New Roman" w:cs="Times New Roman"/>
        </w:rPr>
        <w:t xml:space="preserve"> </w:t>
      </w:r>
      <w:r w:rsidRPr="00720464">
        <w:rPr>
          <w:rFonts w:ascii="Times New Roman" w:hAnsi="Times New Roman" w:cs="Times New Roman"/>
        </w:rPr>
        <w:t>may be accepted as verification</w:t>
      </w:r>
      <w:r w:rsidR="00720464">
        <w:rPr>
          <w:rFonts w:ascii="Times New Roman" w:hAnsi="Times New Roman" w:cs="Times New Roman"/>
        </w:rPr>
        <w:t>.</w:t>
      </w:r>
      <w:r w:rsidR="00947C86">
        <w:rPr>
          <w:rFonts w:ascii="Times New Roman" w:hAnsi="Times New Roman" w:cs="Times New Roman"/>
        </w:rPr>
        <w:t xml:space="preserve"> (Self-declarations must be signed under penalties of perjury.)</w:t>
      </w:r>
    </w:p>
    <w:p w:rsidR="00277ACC" w:rsidRPr="00720464" w:rsidRDefault="00277ACC" w:rsidP="001A35AF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720464">
        <w:rPr>
          <w:rFonts w:ascii="Times New Roman" w:hAnsi="Times New Roman" w:cs="Times New Roman"/>
        </w:rPr>
        <w:t>Verifications by self-declaration are acceptable for verifying: cash on hand,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>ownership of bank deposits, inaccessibility of joint bank accounts and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 xml:space="preserve">securities, age, </w:t>
      </w:r>
      <w:r w:rsidRPr="00720464">
        <w:rPr>
          <w:rFonts w:ascii="Times New Roman" w:hAnsi="Times New Roman" w:cs="Times New Roman"/>
          <w:highlight w:val="yellow"/>
        </w:rPr>
        <w:t>relationship</w:t>
      </w:r>
      <w:r w:rsidRPr="00720464">
        <w:rPr>
          <w:rFonts w:ascii="Times New Roman" w:hAnsi="Times New Roman" w:cs="Times New Roman"/>
        </w:rPr>
        <w:t>, noncitizen status, Canadian-born Indian status,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>good cause for failure to cooperate with the Child Support Enforcement Unit,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>good cause for refusing a bona fide offer of employment or training for</w:t>
      </w:r>
      <w:r w:rsidR="00862446" w:rsidRPr="00720464">
        <w:rPr>
          <w:rFonts w:ascii="Times New Roman" w:hAnsi="Times New Roman" w:cs="Times New Roman"/>
        </w:rPr>
        <w:t> </w:t>
      </w:r>
      <w:r w:rsidRPr="00720464">
        <w:rPr>
          <w:rFonts w:ascii="Times New Roman" w:hAnsi="Times New Roman" w:cs="Times New Roman"/>
        </w:rPr>
        <w:t>employment, paternity, temporary absence and health insurance coverage.</w:t>
      </w:r>
    </w:p>
    <w:p w:rsidR="00862446" w:rsidRPr="001A35AF" w:rsidRDefault="00277ACC" w:rsidP="001A35AF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720464">
        <w:rPr>
          <w:rFonts w:ascii="Times New Roman" w:hAnsi="Times New Roman" w:cs="Times New Roman"/>
        </w:rPr>
        <w:t>(See 106 CMR 702.340(C)).</w:t>
      </w:r>
    </w:p>
    <w:p w:rsidR="00862446" w:rsidRPr="00720464" w:rsidRDefault="00862446" w:rsidP="001A35AF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720464">
        <w:rPr>
          <w:rFonts w:ascii="Times New Roman" w:hAnsi="Times New Roman" w:cs="Times New Roman"/>
          <w:b/>
          <w:bCs/>
        </w:rPr>
        <w:t xml:space="preserve">Important: </w:t>
      </w:r>
      <w:r w:rsidRPr="00720464">
        <w:rPr>
          <w:rFonts w:ascii="Times New Roman" w:hAnsi="Times New Roman" w:cs="Times New Roman"/>
        </w:rPr>
        <w:t xml:space="preserve">It is only after all efforts have been made to get documentary verification or have a third party verify the information, that self-declaration may be used as a form of verification for the eligibility factors above. </w:t>
      </w:r>
    </w:p>
    <w:p w:rsidR="00092A83" w:rsidRDefault="00277ACC" w:rsidP="001A35AF">
      <w:pPr>
        <w:autoSpaceDE w:val="0"/>
        <w:autoSpaceDN w:val="0"/>
        <w:adjustRightInd w:val="0"/>
        <w:spacing w:after="0"/>
        <w:ind w:left="1440"/>
      </w:pPr>
      <w:r>
        <w:t xml:space="preserve">-DTA </w:t>
      </w:r>
      <w:r w:rsidRPr="00277ACC">
        <w:rPr>
          <w:rFonts w:cs="Arial"/>
          <w:bCs/>
        </w:rPr>
        <w:t>Operations Memo 2014-49 A</w:t>
      </w:r>
      <w:r>
        <w:rPr>
          <w:rFonts w:cs="Arial"/>
          <w:bCs/>
        </w:rPr>
        <w:t xml:space="preserve"> </w:t>
      </w:r>
      <w:r w:rsidRPr="00277ACC">
        <w:rPr>
          <w:rFonts w:cs="Arial"/>
          <w:bCs/>
        </w:rPr>
        <w:t>August 14, 2014,</w:t>
      </w:r>
      <w:r>
        <w:rPr>
          <w:rFonts w:cs="Arial"/>
          <w:b/>
          <w:bCs/>
        </w:rPr>
        <w:t xml:space="preserve"> </w:t>
      </w:r>
      <w:hyperlink r:id="rId14" w:history="1">
        <w:r w:rsidRPr="00277ACC">
          <w:rPr>
            <w:rStyle w:val="Hyperlink"/>
          </w:rPr>
          <w:t>http://www.masslegalservices.org/system/files/library/OM%202014-49%20A.pdf</w:t>
        </w:r>
      </w:hyperlink>
      <w:r w:rsidRPr="00277ACC">
        <w:t xml:space="preserve"> </w:t>
      </w:r>
    </w:p>
    <w:sectPr w:rsidR="00092A83" w:rsidSect="009C601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8A" w:rsidRDefault="0069438A" w:rsidP="0069438A">
      <w:pPr>
        <w:spacing w:after="0"/>
      </w:pPr>
      <w:r>
        <w:separator/>
      </w:r>
    </w:p>
  </w:endnote>
  <w:endnote w:type="continuationSeparator" w:id="0">
    <w:p w:rsidR="0069438A" w:rsidRDefault="0069438A" w:rsidP="006943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29444"/>
      <w:docPartObj>
        <w:docPartGallery w:val="Page Numbers (Bottom of Page)"/>
        <w:docPartUnique/>
      </w:docPartObj>
    </w:sdtPr>
    <w:sdtContent>
      <w:p w:rsidR="0069438A" w:rsidRDefault="001867F3">
        <w:pPr>
          <w:pStyle w:val="Footer"/>
          <w:jc w:val="right"/>
        </w:pPr>
        <w:fldSimple w:instr=" PAGE   \* MERGEFORMAT ">
          <w:r w:rsidR="005D2B9B">
            <w:rPr>
              <w:noProof/>
            </w:rPr>
            <w:t>3</w:t>
          </w:r>
        </w:fldSimple>
      </w:p>
    </w:sdtContent>
  </w:sdt>
  <w:p w:rsidR="0069438A" w:rsidRDefault="00694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8A" w:rsidRDefault="0069438A" w:rsidP="0069438A">
      <w:pPr>
        <w:spacing w:after="0"/>
      </w:pPr>
      <w:r>
        <w:separator/>
      </w:r>
    </w:p>
  </w:footnote>
  <w:footnote w:type="continuationSeparator" w:id="0">
    <w:p w:rsidR="0069438A" w:rsidRDefault="0069438A" w:rsidP="006943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BC5"/>
    <w:multiLevelType w:val="hybridMultilevel"/>
    <w:tmpl w:val="25C8D7A2"/>
    <w:lvl w:ilvl="0" w:tplc="AE86F63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3D23"/>
    <w:multiLevelType w:val="hybridMultilevel"/>
    <w:tmpl w:val="33D0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F5FB8"/>
    <w:multiLevelType w:val="hybridMultilevel"/>
    <w:tmpl w:val="A9B29C88"/>
    <w:lvl w:ilvl="0" w:tplc="AE86F63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AE1934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1A2298">
      <w:start w:val="115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6495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48AECF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E26989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E24C22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22228A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0C9586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DA13562"/>
    <w:multiLevelType w:val="hybridMultilevel"/>
    <w:tmpl w:val="7BBA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F05A9"/>
    <w:multiLevelType w:val="multilevel"/>
    <w:tmpl w:val="B84CB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07915A1"/>
    <w:multiLevelType w:val="hybridMultilevel"/>
    <w:tmpl w:val="DE8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24668"/>
    <w:multiLevelType w:val="hybridMultilevel"/>
    <w:tmpl w:val="7E0AE17E"/>
    <w:lvl w:ilvl="0" w:tplc="AE86F63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A019D"/>
    <w:multiLevelType w:val="hybridMultilevel"/>
    <w:tmpl w:val="42E81B4A"/>
    <w:lvl w:ilvl="0" w:tplc="AE86F63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E6C"/>
    <w:rsid w:val="00060862"/>
    <w:rsid w:val="0008209B"/>
    <w:rsid w:val="0008683E"/>
    <w:rsid w:val="00092A83"/>
    <w:rsid w:val="000B5CBF"/>
    <w:rsid w:val="000E571D"/>
    <w:rsid w:val="000F438B"/>
    <w:rsid w:val="000F74D0"/>
    <w:rsid w:val="00110539"/>
    <w:rsid w:val="001105B2"/>
    <w:rsid w:val="001142A7"/>
    <w:rsid w:val="0011719B"/>
    <w:rsid w:val="001244ED"/>
    <w:rsid w:val="0012527A"/>
    <w:rsid w:val="00145FC3"/>
    <w:rsid w:val="00150207"/>
    <w:rsid w:val="001867F3"/>
    <w:rsid w:val="001A35AF"/>
    <w:rsid w:val="001C28D7"/>
    <w:rsid w:val="001C6BF7"/>
    <w:rsid w:val="001D240E"/>
    <w:rsid w:val="001D74DD"/>
    <w:rsid w:val="001F0F2F"/>
    <w:rsid w:val="001F73EA"/>
    <w:rsid w:val="002201A3"/>
    <w:rsid w:val="0022168F"/>
    <w:rsid w:val="00226E73"/>
    <w:rsid w:val="00237660"/>
    <w:rsid w:val="00242719"/>
    <w:rsid w:val="002533C0"/>
    <w:rsid w:val="00253735"/>
    <w:rsid w:val="00254155"/>
    <w:rsid w:val="00271CB1"/>
    <w:rsid w:val="00277ACC"/>
    <w:rsid w:val="002A5675"/>
    <w:rsid w:val="002E5A48"/>
    <w:rsid w:val="002F461A"/>
    <w:rsid w:val="003015DD"/>
    <w:rsid w:val="00321A7A"/>
    <w:rsid w:val="0032441D"/>
    <w:rsid w:val="00324958"/>
    <w:rsid w:val="00340939"/>
    <w:rsid w:val="00345E90"/>
    <w:rsid w:val="003522D8"/>
    <w:rsid w:val="00356E7C"/>
    <w:rsid w:val="003D473C"/>
    <w:rsid w:val="003D6391"/>
    <w:rsid w:val="004101DF"/>
    <w:rsid w:val="0041284F"/>
    <w:rsid w:val="004163CE"/>
    <w:rsid w:val="00422AA8"/>
    <w:rsid w:val="00434A3B"/>
    <w:rsid w:val="00436022"/>
    <w:rsid w:val="004537CF"/>
    <w:rsid w:val="00460062"/>
    <w:rsid w:val="00483F61"/>
    <w:rsid w:val="004925A1"/>
    <w:rsid w:val="004A17C0"/>
    <w:rsid w:val="004B229F"/>
    <w:rsid w:val="004B30D0"/>
    <w:rsid w:val="004C3C35"/>
    <w:rsid w:val="004D7067"/>
    <w:rsid w:val="004D7E68"/>
    <w:rsid w:val="004E3B5B"/>
    <w:rsid w:val="0051669C"/>
    <w:rsid w:val="005217D6"/>
    <w:rsid w:val="00522E3B"/>
    <w:rsid w:val="00547492"/>
    <w:rsid w:val="00550C3A"/>
    <w:rsid w:val="0056236F"/>
    <w:rsid w:val="005640B5"/>
    <w:rsid w:val="005857FB"/>
    <w:rsid w:val="005D2B9B"/>
    <w:rsid w:val="005E4EDC"/>
    <w:rsid w:val="006070DE"/>
    <w:rsid w:val="00612DB9"/>
    <w:rsid w:val="00613A54"/>
    <w:rsid w:val="00624949"/>
    <w:rsid w:val="00635302"/>
    <w:rsid w:val="006759D8"/>
    <w:rsid w:val="0067618B"/>
    <w:rsid w:val="00683F9C"/>
    <w:rsid w:val="00687D77"/>
    <w:rsid w:val="00692C10"/>
    <w:rsid w:val="0069438A"/>
    <w:rsid w:val="006A4347"/>
    <w:rsid w:val="006D0FCE"/>
    <w:rsid w:val="006D22F6"/>
    <w:rsid w:val="00704A38"/>
    <w:rsid w:val="00720464"/>
    <w:rsid w:val="00745F7E"/>
    <w:rsid w:val="0075307D"/>
    <w:rsid w:val="007812EA"/>
    <w:rsid w:val="007962CF"/>
    <w:rsid w:val="007F1001"/>
    <w:rsid w:val="007F7350"/>
    <w:rsid w:val="00803ED7"/>
    <w:rsid w:val="00837213"/>
    <w:rsid w:val="00850FF0"/>
    <w:rsid w:val="00862446"/>
    <w:rsid w:val="008B6372"/>
    <w:rsid w:val="008C2C48"/>
    <w:rsid w:val="009166EF"/>
    <w:rsid w:val="009309F6"/>
    <w:rsid w:val="00947C86"/>
    <w:rsid w:val="00960875"/>
    <w:rsid w:val="00965162"/>
    <w:rsid w:val="009706F2"/>
    <w:rsid w:val="0098605A"/>
    <w:rsid w:val="009902F6"/>
    <w:rsid w:val="009A1A5E"/>
    <w:rsid w:val="009C6016"/>
    <w:rsid w:val="009C6E23"/>
    <w:rsid w:val="009D2E1B"/>
    <w:rsid w:val="009E3BA4"/>
    <w:rsid w:val="009F32F0"/>
    <w:rsid w:val="00A159C1"/>
    <w:rsid w:val="00A25183"/>
    <w:rsid w:val="00A27347"/>
    <w:rsid w:val="00A37E2D"/>
    <w:rsid w:val="00A542BC"/>
    <w:rsid w:val="00A612DE"/>
    <w:rsid w:val="00A65768"/>
    <w:rsid w:val="00A66A19"/>
    <w:rsid w:val="00A707B4"/>
    <w:rsid w:val="00A7745C"/>
    <w:rsid w:val="00A82424"/>
    <w:rsid w:val="00A87080"/>
    <w:rsid w:val="00A87A7A"/>
    <w:rsid w:val="00AA2EBC"/>
    <w:rsid w:val="00AC6265"/>
    <w:rsid w:val="00AD4E0D"/>
    <w:rsid w:val="00AD5F60"/>
    <w:rsid w:val="00AD66B4"/>
    <w:rsid w:val="00AE7D40"/>
    <w:rsid w:val="00B20668"/>
    <w:rsid w:val="00B222EA"/>
    <w:rsid w:val="00B238B6"/>
    <w:rsid w:val="00B61578"/>
    <w:rsid w:val="00B75C42"/>
    <w:rsid w:val="00B77224"/>
    <w:rsid w:val="00B90008"/>
    <w:rsid w:val="00B96327"/>
    <w:rsid w:val="00B97AD1"/>
    <w:rsid w:val="00BA7767"/>
    <w:rsid w:val="00BB3648"/>
    <w:rsid w:val="00C03845"/>
    <w:rsid w:val="00C11951"/>
    <w:rsid w:val="00C36655"/>
    <w:rsid w:val="00C41D0E"/>
    <w:rsid w:val="00C5366F"/>
    <w:rsid w:val="00C636FE"/>
    <w:rsid w:val="00C7056C"/>
    <w:rsid w:val="00C775FA"/>
    <w:rsid w:val="00C82453"/>
    <w:rsid w:val="00C8647B"/>
    <w:rsid w:val="00C97FCC"/>
    <w:rsid w:val="00CA06E3"/>
    <w:rsid w:val="00CC2881"/>
    <w:rsid w:val="00CF488F"/>
    <w:rsid w:val="00D0309D"/>
    <w:rsid w:val="00D03A71"/>
    <w:rsid w:val="00D0751E"/>
    <w:rsid w:val="00D143D5"/>
    <w:rsid w:val="00D33BC5"/>
    <w:rsid w:val="00D35ED6"/>
    <w:rsid w:val="00D36589"/>
    <w:rsid w:val="00D45CA1"/>
    <w:rsid w:val="00D4602B"/>
    <w:rsid w:val="00D52D51"/>
    <w:rsid w:val="00D6235E"/>
    <w:rsid w:val="00D64FE0"/>
    <w:rsid w:val="00D72449"/>
    <w:rsid w:val="00D83BD5"/>
    <w:rsid w:val="00D87885"/>
    <w:rsid w:val="00DA0FE9"/>
    <w:rsid w:val="00DC2E77"/>
    <w:rsid w:val="00DC2E9D"/>
    <w:rsid w:val="00DE4003"/>
    <w:rsid w:val="00DF69EB"/>
    <w:rsid w:val="00DF7BE9"/>
    <w:rsid w:val="00E07552"/>
    <w:rsid w:val="00E14E84"/>
    <w:rsid w:val="00E222D6"/>
    <w:rsid w:val="00E30E6C"/>
    <w:rsid w:val="00E540DB"/>
    <w:rsid w:val="00E6023B"/>
    <w:rsid w:val="00E6397C"/>
    <w:rsid w:val="00E729E4"/>
    <w:rsid w:val="00E73AB9"/>
    <w:rsid w:val="00E85F0D"/>
    <w:rsid w:val="00E8606E"/>
    <w:rsid w:val="00E927A9"/>
    <w:rsid w:val="00ED18EC"/>
    <w:rsid w:val="00EE7683"/>
    <w:rsid w:val="00EF0137"/>
    <w:rsid w:val="00F13F99"/>
    <w:rsid w:val="00F154A5"/>
    <w:rsid w:val="00F216CB"/>
    <w:rsid w:val="00F2247F"/>
    <w:rsid w:val="00F26805"/>
    <w:rsid w:val="00F26AB0"/>
    <w:rsid w:val="00F357B6"/>
    <w:rsid w:val="00F64B15"/>
    <w:rsid w:val="00F7785D"/>
    <w:rsid w:val="00F948E7"/>
    <w:rsid w:val="00F97E98"/>
    <w:rsid w:val="00FB0F86"/>
    <w:rsid w:val="00FD6D7A"/>
    <w:rsid w:val="00FF0B60"/>
    <w:rsid w:val="00FF43FD"/>
    <w:rsid w:val="00FF6E75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4A5"/>
    <w:pPr>
      <w:ind w:left="720"/>
      <w:contextualSpacing/>
    </w:pPr>
  </w:style>
  <w:style w:type="table" w:styleId="TableGrid">
    <w:name w:val="Table Grid"/>
    <w:basedOn w:val="TableNormal"/>
    <w:uiPriority w:val="59"/>
    <w:rsid w:val="006A434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F6E75"/>
    <w:rPr>
      <w:b/>
      <w:bCs/>
    </w:rPr>
  </w:style>
  <w:style w:type="character" w:customStyle="1" w:styleId="style28">
    <w:name w:val="style28"/>
    <w:basedOn w:val="DefaultParagraphFont"/>
    <w:rsid w:val="00E927A9"/>
  </w:style>
  <w:style w:type="character" w:customStyle="1" w:styleId="style9">
    <w:name w:val="style9"/>
    <w:basedOn w:val="DefaultParagraphFont"/>
    <w:rsid w:val="00C8647B"/>
  </w:style>
  <w:style w:type="character" w:customStyle="1" w:styleId="style1">
    <w:name w:val="style1"/>
    <w:basedOn w:val="DefaultParagraphFont"/>
    <w:rsid w:val="00C8647B"/>
  </w:style>
  <w:style w:type="paragraph" w:styleId="Header">
    <w:name w:val="header"/>
    <w:basedOn w:val="Normal"/>
    <w:link w:val="HeaderChar"/>
    <w:uiPriority w:val="99"/>
    <w:semiHidden/>
    <w:unhideWhenUsed/>
    <w:rsid w:val="006943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38A"/>
  </w:style>
  <w:style w:type="paragraph" w:styleId="Footer">
    <w:name w:val="footer"/>
    <w:basedOn w:val="Normal"/>
    <w:link w:val="FooterChar"/>
    <w:uiPriority w:val="99"/>
    <w:unhideWhenUsed/>
    <w:rsid w:val="006943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34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99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93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27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New%20Site/Basic%20Needs/EAEDC_Benefit_Amounts.pdf" TargetMode="External"/><Relationship Id="rId13" Type="http://schemas.openxmlformats.org/officeDocument/2006/relationships/hyperlink" Target="http://www.mass.gov/eohhs/docs/dta/regs/tafdc/2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legalservices.org/content/2014-ssi-payment-levels-2014-ssi-and-ssdi-threshold-amounts" TargetMode="External"/><Relationship Id="rId12" Type="http://schemas.openxmlformats.org/officeDocument/2006/relationships/hyperlink" Target="http://healthcare.partners.org/ss/ssframebottom/staffresources/New%20Site/Basic%20Needs/Can_I_Get_Paid_for_Caregiving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care.partners.org/ss/ssframebottom/staffresources/New%20Site/Basic%20Needs/Can_I_Get_Paid_for_Caregiving-Brie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silc.org/membership/c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800ageinfo.com/" TargetMode="External"/><Relationship Id="rId14" Type="http://schemas.openxmlformats.org/officeDocument/2006/relationships/hyperlink" Target="http://www.masslegalservices.org/system/files/library/OM%202014-49%20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Forman</dc:creator>
  <cp:lastModifiedBy>Ellen Forman</cp:lastModifiedBy>
  <cp:revision>2</cp:revision>
  <dcterms:created xsi:type="dcterms:W3CDTF">2015-10-20T17:54:00Z</dcterms:created>
  <dcterms:modified xsi:type="dcterms:W3CDTF">2015-10-20T17:54:00Z</dcterms:modified>
</cp:coreProperties>
</file>